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kern w:val="0"/>
          <w:sz w:val="24"/>
          <w:szCs w:val="24"/>
        </w:rPr>
      </w:pPr>
      <w:bookmarkStart w:id="0" w:name="_GoBack"/>
      <w:bookmarkEnd w:id="0"/>
      <w:r>
        <w:rPr>
          <w:rFonts w:hint="eastAsia" w:ascii="仿宋_GB2312" w:hAnsi="宋体" w:eastAsia="仿宋_GB2312" w:cs="宋体"/>
          <w:color w:val="000000"/>
          <w:sz w:val="32"/>
          <w:szCs w:val="32"/>
        </w:rPr>
        <w:t>区直有关单位:</w:t>
      </w:r>
    </w:p>
    <w:p>
      <w:pPr>
        <w:ind w:firstLine="640" w:firstLineChars="200"/>
        <w:rPr>
          <w:rFonts w:ascii="宋体" w:hAnsi="宋体" w:eastAsia="宋体" w:cs="宋体"/>
          <w:kern w:val="0"/>
          <w:sz w:val="24"/>
          <w:szCs w:val="24"/>
        </w:rPr>
      </w:pPr>
      <w:r>
        <w:rPr>
          <w:rFonts w:hint="eastAsia" w:ascii="仿宋_GB2312" w:hAnsi="宋体" w:eastAsia="仿宋_GB2312" w:cs="宋体"/>
          <w:color w:val="000000"/>
          <w:sz w:val="32"/>
          <w:szCs w:val="32"/>
        </w:rPr>
        <w:t>为深入贯彻落实习近平总书记的重要讲话和指示批示精神，按照市政府《关于分解经济有关重点工作任务的通知》(六政秘〔2020〕18号）和区政府常务会议要求，统筹做好“六稳”工作，全力保持经济稳定运行，现就抓好全年经济有关重点工作通知如下:</w:t>
      </w:r>
    </w:p>
    <w:p>
      <w:pPr>
        <w:ind w:firstLine="640" w:firstLineChars="200"/>
        <w:rPr>
          <w:rFonts w:ascii="宋体" w:hAnsi="宋体" w:eastAsia="宋体" w:cs="宋体"/>
          <w:kern w:val="0"/>
          <w:sz w:val="24"/>
          <w:szCs w:val="24"/>
        </w:rPr>
      </w:pPr>
      <w:r>
        <w:rPr>
          <w:rFonts w:hint="eastAsia" w:ascii="黑体" w:hAnsi="黑体" w:eastAsia="黑体" w:cs="宋体"/>
          <w:color w:val="000000"/>
          <w:sz w:val="32"/>
          <w:szCs w:val="32"/>
        </w:rPr>
        <w:t>一、提高认识。</w:t>
      </w:r>
      <w:r>
        <w:rPr>
          <w:rFonts w:hint="eastAsia" w:ascii="仿宋_GB2312" w:hAnsi="宋体" w:eastAsia="仿宋_GB2312" w:cs="宋体"/>
          <w:color w:val="000000"/>
          <w:sz w:val="32"/>
          <w:szCs w:val="32"/>
        </w:rPr>
        <w:t>各有关部门要充分认识和把握我区经济发展面临的新情况新问题新挑战，在全力以赴抓好疫情防控前提下，坚持稳中求进工作总基调，坚持脱虚向实，坚持高位推动，全面落实“六稳”要求，精准研判、坚定信心，积极应对出现的矛盾和问题，尽可能降低疫情对区域经济的影响。</w:t>
      </w:r>
    </w:p>
    <w:p>
      <w:pPr>
        <w:ind w:firstLine="640" w:firstLineChars="200"/>
        <w:rPr>
          <w:rFonts w:ascii="宋体" w:hAnsi="宋体" w:eastAsia="宋体" w:cs="宋体"/>
          <w:kern w:val="0"/>
          <w:sz w:val="24"/>
          <w:szCs w:val="24"/>
        </w:rPr>
      </w:pPr>
      <w:r>
        <w:rPr>
          <w:rFonts w:hint="eastAsia" w:ascii="黑体" w:hAnsi="黑体" w:eastAsia="黑体" w:cs="宋体"/>
          <w:color w:val="000000"/>
          <w:sz w:val="32"/>
          <w:szCs w:val="32"/>
        </w:rPr>
        <w:t>二、明确目标。</w:t>
      </w:r>
      <w:r>
        <w:rPr>
          <w:rFonts w:hint="eastAsia" w:ascii="仿宋_GB2312" w:hAnsi="宋体" w:eastAsia="仿宋_GB2312" w:cs="宋体"/>
          <w:color w:val="000000"/>
          <w:sz w:val="32"/>
          <w:szCs w:val="32"/>
        </w:rPr>
        <w:t>自2020年1月起，全国实行地区生产总值统一核算，核算主体和核算指标均发生较大变化。GDP核算指标增加至41个，其中涉及我区指标29项，各有关部门要积极主动、深入研究，详细了解各项指标的内涵和外延，精准发力、精准施</w:t>
      </w:r>
    </w:p>
    <w:p>
      <w:pPr>
        <w:widowControl/>
        <w:spacing w:beforeAutospacing="1" w:afterAutospacing="1"/>
        <w:jc w:val="left"/>
        <w:rPr>
          <w:rFonts w:ascii="仿宋_GB2312" w:hAnsi="宋体" w:eastAsia="仿宋_GB2312" w:cs="宋体"/>
          <w:color w:val="000000"/>
          <w:sz w:val="32"/>
          <w:szCs w:val="32"/>
        </w:rPr>
        <w:sectPr>
          <w:pgSz w:w="12240" w:h="15840"/>
          <w:pgMar w:top="1440" w:right="1800" w:bottom="1440" w:left="1800" w:header="720" w:footer="720" w:gutter="0"/>
          <w:cols w:space="720" w:num="1"/>
        </w:sectPr>
      </w:pPr>
    </w:p>
    <w:p>
      <w:pPr>
        <w:ind w:firstLine="640" w:firstLineChars="200"/>
        <w:rPr>
          <w:rFonts w:ascii="宋体" w:hAnsi="宋体" w:eastAsia="宋体" w:cs="宋体"/>
          <w:kern w:val="0"/>
          <w:sz w:val="24"/>
          <w:szCs w:val="24"/>
        </w:rPr>
      </w:pPr>
      <w:r>
        <w:rPr>
          <w:rFonts w:hint="eastAsia" w:ascii="仿宋_GB2312" w:hAnsi="宋体" w:eastAsia="仿宋_GB2312" w:cs="宋体"/>
          <w:color w:val="000000"/>
          <w:sz w:val="32"/>
          <w:szCs w:val="32"/>
        </w:rPr>
        <w:t>策。按照“谁主管、谁负责”的原则，各行业主管部门要全面梳理掌握农业、工业、建筑业、批发零售、住宿餐饮、交通运输、金融、房地产、其他营利性服务业和其他非营利性服务业等10大行业企业数量、分布、类型及经营基本情况，建立重点企业名录库。常态化推进“四送一服”等活动，主动下沉到一线，坚持点对点、实打实，对生产经营困难的企业特别是一些退规、零上报企业，分类找准症结，“一企一策”开展精准帮扶，协调处理企业发展中的问题，提高企业在行业中的贡献率。全力做好纳规升限工作，按照达标企业抓入库、接近企业抓培育、新建企业抓跟踪的思路，健全“四上”企业培育储备库，实行动态管理、梯次发展，增强经济发展后劲。</w:t>
      </w:r>
    </w:p>
    <w:p>
      <w:pPr>
        <w:ind w:firstLine="640" w:firstLineChars="200"/>
        <w:rPr>
          <w:rFonts w:ascii="宋体" w:hAnsi="宋体" w:eastAsia="宋体" w:cs="宋体"/>
          <w:kern w:val="0"/>
          <w:sz w:val="24"/>
          <w:szCs w:val="24"/>
        </w:rPr>
      </w:pPr>
      <w:r>
        <w:rPr>
          <w:rFonts w:hint="eastAsia" w:ascii="黑体" w:hAnsi="黑体" w:eastAsia="黑体" w:cs="宋体"/>
          <w:color w:val="000000"/>
          <w:sz w:val="32"/>
          <w:szCs w:val="32"/>
        </w:rPr>
        <w:t>三、加强调度。</w:t>
      </w:r>
      <w:r>
        <w:rPr>
          <w:rFonts w:hint="eastAsia" w:ascii="仿宋_GB2312" w:hAnsi="宋体" w:eastAsia="仿宋_GB2312" w:cs="宋体"/>
          <w:color w:val="000000"/>
          <w:sz w:val="32"/>
          <w:szCs w:val="32"/>
        </w:rPr>
        <w:t>坚持目标导向、问题导向和结果导向，密切关注形势变化，加强增速下滑区域和行业的调研服务，找准下行点，摸清受困点，主攻增长点，有针对性地采取对策措施。各行业主管部门要建立重点企业监测预警制度，对重点企业实行“预报制”，及时了解和掌握企业经营中出现的新情况、新问题，做到早发现、早预警、早谋划。严格落实以周保月、以月保季、以季保年要求，实行经济运行深度监测、重点经济工作责任清单，加强形势研判和工作调度，重点时段实施点对点调度、日比日分析，确保区政府各项重点工作和年度目标任务及时全面高质量完成。</w:t>
      </w:r>
    </w:p>
    <w:p>
      <w:pPr>
        <w:ind w:firstLine="640" w:firstLineChars="200"/>
        <w:rPr>
          <w:rFonts w:ascii="宋体" w:hAnsi="宋体" w:eastAsia="宋体" w:cs="宋体"/>
          <w:kern w:val="0"/>
          <w:sz w:val="24"/>
          <w:szCs w:val="24"/>
        </w:rPr>
      </w:pPr>
      <w:r>
        <w:rPr>
          <w:rFonts w:hint="eastAsia" w:ascii="黑体" w:hAnsi="黑体" w:eastAsia="黑体" w:cs="宋体"/>
          <w:color w:val="000000"/>
          <w:sz w:val="32"/>
          <w:szCs w:val="32"/>
        </w:rPr>
        <w:t>四、压实责任。</w:t>
      </w:r>
      <w:r>
        <w:rPr>
          <w:rFonts w:hint="eastAsia" w:ascii="仿宋_GB2312" w:hAnsi="宋体" w:eastAsia="仿宋_GB2312" w:cs="宋体"/>
          <w:color w:val="000000"/>
          <w:sz w:val="32"/>
          <w:szCs w:val="32"/>
        </w:rPr>
        <w:t>根据职责分工，对当前经济重点工作任务进行逐项分解，每项工作任务确定了牵头区领导和责任单位。坚持以上率下、条块结合，牵头区领导要靠前指挥，强化调度，指导督促有关部门将各项措施落到实处。各牵头责任部门要切实发挥牵头抓总作用，对承担的目标任务进行细化分解，坚决有力地贯彻好、落实好各项措施。各行业部门要切实弄清弄懂弄透本地本行业经济工作中存在的弱项和短板，进一步明确任务，强化举措，有针对性地抓重点、补短板、强弱项，不断提升经济工作精准度。经济重点工作任务落实情况纳入区政府年度目标绩效考核。</w:t>
      </w:r>
    </w:p>
    <w:p>
      <w:pPr>
        <w:ind w:firstLine="640" w:firstLineChars="200"/>
        <w:rPr>
          <w:rFonts w:ascii="宋体" w:hAnsi="宋体" w:eastAsia="宋体" w:cs="宋体"/>
          <w:kern w:val="0"/>
          <w:sz w:val="24"/>
          <w:szCs w:val="24"/>
        </w:rPr>
      </w:pPr>
      <w:r>
        <w:rPr>
          <w:rFonts w:hint="eastAsia" w:ascii="仿宋_GB2312" w:hAnsi="宋体" w:eastAsia="仿宋_GB2312" w:cs="宋体"/>
          <w:color w:val="000000"/>
          <w:sz w:val="32"/>
          <w:szCs w:val="32"/>
        </w:rPr>
        <w:t>附件:金安区年度经济重点工作任务分解表</w:t>
      </w:r>
    </w:p>
    <w:p>
      <w:pPr>
        <w:widowControl/>
        <w:jc w:val="left"/>
        <w:rPr>
          <w:rFonts w:ascii="宋体" w:hAnsi="宋体" w:eastAsia="宋体" w:cs="宋体"/>
          <w:kern w:val="0"/>
          <w:sz w:val="24"/>
          <w:szCs w:val="24"/>
        </w:rPr>
      </w:pPr>
      <w:r>
        <w:rPr>
          <w:rFonts w:hint="eastAsia" w:ascii="方正仿宋简体" w:hAnsi="Times New Roman" w:eastAsia="方正仿宋简体" w:cs="Times New Roman"/>
          <w:color w:val="000000"/>
          <w:sz w:val="32"/>
          <w:szCs w:val="32"/>
        </w:rPr>
        <w:t xml:space="preserve"> </w:t>
      </w:r>
    </w:p>
    <w:p>
      <w:pPr>
        <w:widowControl/>
        <w:jc w:val="left"/>
        <w:rPr>
          <w:rFonts w:ascii="宋体" w:hAnsi="宋体" w:eastAsia="宋体" w:cs="宋体"/>
          <w:kern w:val="0"/>
          <w:sz w:val="24"/>
          <w:szCs w:val="24"/>
        </w:rPr>
      </w:pPr>
      <w:r>
        <w:rPr>
          <w:rFonts w:hint="eastAsia" w:ascii="Times New Roman" w:hAnsi="Times New Roman" w:eastAsia="仿宋_GB2312" w:cs="Times New Roman"/>
          <w:color w:val="000000"/>
          <w:sz w:val="32"/>
          <w:szCs w:val="32"/>
        </w:rPr>
        <w:t xml:space="preserve"> </w:t>
      </w:r>
    </w:p>
    <w:p>
      <w:pPr>
        <w:widowControl/>
        <w:spacing w:before="100" w:beforeAutospacing="1" w:after="100" w:afterAutospacing="1"/>
        <w:jc w:val="right"/>
        <w:rPr>
          <w:rFonts w:ascii="宋体" w:hAnsi="宋体" w:eastAsia="宋体" w:cs="宋体"/>
          <w:kern w:val="0"/>
          <w:sz w:val="24"/>
          <w:szCs w:val="24"/>
        </w:rPr>
      </w:pPr>
      <w:r>
        <w:rPr>
          <w:rFonts w:hint="eastAsia" w:ascii="仿宋_GB2312" w:hAnsi="宋体" w:eastAsia="仿宋_GB2312" w:cs="宋体"/>
          <w:color w:val="000000"/>
          <w:sz w:val="32"/>
          <w:szCs w:val="32"/>
        </w:rPr>
        <w:t>2021年8月27日</w:t>
      </w:r>
    </w:p>
    <w:p>
      <w:pPr>
        <w:widowControl/>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p>
      <w:pPr>
        <w:widowControl/>
        <w:spacing w:before="100" w:beforeAutospacing="1" w:after="100" w:afterAutospacing="1"/>
        <w:rPr>
          <w:rFonts w:ascii="宋体" w:hAnsi="宋体" w:eastAsia="宋体" w:cs="宋体"/>
          <w:kern w:val="0"/>
          <w:sz w:val="24"/>
          <w:szCs w:val="24"/>
        </w:rPr>
      </w:pPr>
      <w:r>
        <w:rPr>
          <w:rFonts w:hint="eastAsia" w:ascii="黑体" w:hAnsi="黑体" w:eastAsia="黑体" w:cs="宋体"/>
          <w:color w:val="000000"/>
          <w:sz w:val="28"/>
          <w:szCs w:val="28"/>
        </w:rPr>
        <w:t>附件：</w:t>
      </w:r>
    </w:p>
    <w:p>
      <w:pPr>
        <w:widowControl/>
        <w:spacing w:line="560" w:lineRule="exact"/>
        <w:jc w:val="center"/>
        <w:rPr>
          <w:rFonts w:ascii="宋体" w:hAnsi="宋体" w:eastAsia="宋体" w:cs="宋体"/>
          <w:kern w:val="0"/>
          <w:sz w:val="24"/>
          <w:szCs w:val="24"/>
        </w:rPr>
      </w:pPr>
      <w:r>
        <w:rPr>
          <w:rFonts w:hint="eastAsia" w:ascii="方正小标宋简体" w:hAnsi="Times New Roman" w:eastAsia="方正小标宋简体" w:cs="宋体"/>
          <w:color w:val="000000"/>
          <w:kern w:val="0"/>
          <w:sz w:val="40"/>
          <w:szCs w:val="40"/>
        </w:rPr>
        <w:t>金安区年度经济重点工作任务分解表</w:t>
      </w:r>
    </w:p>
    <w:p>
      <w:pPr>
        <w:widowControl/>
        <w:spacing w:before="100" w:beforeAutospacing="1" w:after="100" w:afterAutospacing="1"/>
        <w:rPr>
          <w:rFonts w:ascii="宋体" w:hAnsi="宋体" w:eastAsia="宋体" w:cs="宋体"/>
          <w:kern w:val="0"/>
          <w:sz w:val="24"/>
          <w:szCs w:val="24"/>
        </w:rPr>
      </w:pPr>
      <w:r>
        <w:rPr>
          <w:rFonts w:ascii="Times New Roman" w:hAnsi="Times New Roman" w:eastAsia="仿宋_GB2312" w:cs="Times New Roman"/>
          <w:color w:val="000000"/>
          <w:sz w:val="32"/>
          <w:szCs w:val="32"/>
        </w:rPr>
        <w:t xml:space="preserve"> </w:t>
      </w:r>
    </w:p>
    <w:tbl>
      <w:tblPr>
        <w:tblStyle w:val="5"/>
        <w:tblW w:w="9375" w:type="dxa"/>
        <w:jc w:val="center"/>
        <w:tblLayout w:type="fixed"/>
        <w:tblCellMar>
          <w:top w:w="15" w:type="dxa"/>
          <w:left w:w="15" w:type="dxa"/>
          <w:bottom w:w="15" w:type="dxa"/>
          <w:right w:w="15" w:type="dxa"/>
        </w:tblCellMar>
      </w:tblPr>
      <w:tblGrid>
        <w:gridCol w:w="532"/>
        <w:gridCol w:w="1305"/>
        <w:gridCol w:w="2104"/>
        <w:gridCol w:w="1706"/>
        <w:gridCol w:w="1050"/>
        <w:gridCol w:w="1605"/>
        <w:gridCol w:w="1073"/>
      </w:tblGrid>
      <w:tr>
        <w:tblPrEx>
          <w:tblCellMar>
            <w:top w:w="15" w:type="dxa"/>
            <w:left w:w="15" w:type="dxa"/>
            <w:bottom w:w="15" w:type="dxa"/>
            <w:right w:w="15" w:type="dxa"/>
          </w:tblCellMar>
        </w:tblPrEx>
        <w:trPr>
          <w:trHeight w:val="683"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kern w:val="0"/>
                <w:szCs w:val="21"/>
              </w:rPr>
              <w:t>序号</w:t>
            </w:r>
          </w:p>
        </w:tc>
        <w:tc>
          <w:tcPr>
            <w:tcW w:w="13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kern w:val="0"/>
                <w:szCs w:val="21"/>
              </w:rPr>
              <w:t>行业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kern w:val="0"/>
                <w:szCs w:val="21"/>
              </w:rPr>
              <w:t>重点工作任务</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spacing w:val="-20"/>
                <w:kern w:val="0"/>
                <w:szCs w:val="21"/>
              </w:rPr>
              <w:t>牵头区领导</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kern w:val="0"/>
                <w:szCs w:val="21"/>
              </w:rPr>
              <w:t>牵头责任单位</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黑体" w:hAnsi="黑体" w:eastAsia="黑体" w:cs="宋体"/>
                <w:color w:val="000000"/>
                <w:kern w:val="0"/>
                <w:szCs w:val="21"/>
              </w:rPr>
              <w:t>配合单位</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w:t>
            </w:r>
          </w:p>
        </w:tc>
        <w:tc>
          <w:tcPr>
            <w:tcW w:w="13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农业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农林牧渔业增加值增速</w:t>
            </w:r>
          </w:p>
        </w:tc>
        <w:tc>
          <w:tcPr>
            <w:tcW w:w="1050"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黄定荣</w:t>
            </w:r>
          </w:p>
        </w:tc>
        <w:tc>
          <w:tcPr>
            <w:tcW w:w="16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区农业农村局</w:t>
            </w:r>
          </w:p>
        </w:tc>
        <w:tc>
          <w:tcPr>
            <w:tcW w:w="1073"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区林业发展中心</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农林牧渔业专业及辅助性活动总产值增速（可比价）</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3</w:t>
            </w:r>
          </w:p>
        </w:tc>
        <w:tc>
          <w:tcPr>
            <w:tcW w:w="13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工业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1.规上采矿业增加值增速</w:t>
            </w:r>
          </w:p>
        </w:tc>
        <w:tc>
          <w:tcPr>
            <w:tcW w:w="1050"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张  运</w:t>
            </w:r>
          </w:p>
        </w:tc>
        <w:tc>
          <w:tcPr>
            <w:tcW w:w="16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区经信局</w:t>
            </w:r>
          </w:p>
        </w:tc>
        <w:tc>
          <w:tcPr>
            <w:tcW w:w="1073"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4</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2.规上制造业增加值增速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5</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3.规上电力热力燃气及水生产和供应业增加值增速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6</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4.规下工业增加值增速△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7</w:t>
            </w:r>
          </w:p>
        </w:tc>
        <w:tc>
          <w:tcPr>
            <w:tcW w:w="13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建筑业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1.注册地总专包建筑业企业总产值增速</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张克梅</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区住建局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8</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2.建筑安装工程投资增速</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周泽道</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区发改委</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区住建局</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9</w:t>
            </w:r>
          </w:p>
        </w:tc>
        <w:tc>
          <w:tcPr>
            <w:tcW w:w="13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批发和</w:t>
            </w:r>
          </w:p>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零售业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1.批发业商品销售额增速</w:t>
            </w:r>
          </w:p>
        </w:tc>
        <w:tc>
          <w:tcPr>
            <w:tcW w:w="1050"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张  运</w:t>
            </w:r>
          </w:p>
        </w:tc>
        <w:tc>
          <w:tcPr>
            <w:tcW w:w="16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区商务局</w:t>
            </w:r>
          </w:p>
        </w:tc>
        <w:tc>
          <w:tcPr>
            <w:tcW w:w="1073"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10</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2.零售业商品销售额增速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11</w:t>
            </w:r>
          </w:p>
        </w:tc>
        <w:tc>
          <w:tcPr>
            <w:tcW w:w="13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住宿和</w:t>
            </w:r>
          </w:p>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餐饮业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1.住宿业营业额增速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12</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2.餐饮业营业额增速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13</w:t>
            </w:r>
          </w:p>
        </w:tc>
        <w:tc>
          <w:tcPr>
            <w:tcW w:w="13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交通运输仓储邮政业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1.公路运输总周转量</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c>
          <w:tcPr>
            <w:tcW w:w="1605" w:type="dxa"/>
            <w:tcBorders>
              <w:top w:val="single" w:color="000000" w:sz="4" w:space="0"/>
              <w:left w:val="nil"/>
              <w:bottom w:val="single" w:color="auto"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上级反馈</w:t>
            </w:r>
          </w:p>
        </w:tc>
        <w:tc>
          <w:tcPr>
            <w:tcW w:w="1073" w:type="dxa"/>
            <w:tcBorders>
              <w:top w:val="single" w:color="000000" w:sz="4" w:space="0"/>
              <w:left w:val="nil"/>
              <w:bottom w:val="single" w:color="auto"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14</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2.装卸搬运和仓储业营业收入增速△</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张克梅</w:t>
            </w:r>
          </w:p>
        </w:tc>
        <w:tc>
          <w:tcPr>
            <w:tcW w:w="1605"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区交通局</w:t>
            </w:r>
          </w:p>
        </w:tc>
        <w:tc>
          <w:tcPr>
            <w:tcW w:w="10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15</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3.邮政业务总量增速</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c>
          <w:tcPr>
            <w:tcW w:w="1605" w:type="dxa"/>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上级反馈</w:t>
            </w:r>
          </w:p>
        </w:tc>
        <w:tc>
          <w:tcPr>
            <w:tcW w:w="10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16</w:t>
            </w:r>
          </w:p>
        </w:tc>
        <w:tc>
          <w:tcPr>
            <w:tcW w:w="1305"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金融业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1.存款类金融机构人民币存贷款余额增速</w:t>
            </w:r>
          </w:p>
        </w:tc>
        <w:tc>
          <w:tcPr>
            <w:tcW w:w="1050" w:type="dxa"/>
            <w:vMerge w:val="restart"/>
            <w:tcBorders>
              <w:top w:val="nil"/>
              <w:left w:val="nil"/>
              <w:bottom w:val="nil"/>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周泽道</w:t>
            </w:r>
          </w:p>
        </w:tc>
        <w:tc>
          <w:tcPr>
            <w:tcW w:w="1605" w:type="dxa"/>
            <w:vMerge w:val="restart"/>
            <w:tcBorders>
              <w:top w:val="nil"/>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上级反馈</w:t>
            </w:r>
          </w:p>
        </w:tc>
        <w:tc>
          <w:tcPr>
            <w:tcW w:w="1073" w:type="dxa"/>
            <w:vMerge w:val="restart"/>
            <w:tcBorders>
              <w:top w:val="nil"/>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17</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2.非存款类金融机构人民币贷款余额增速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18</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3.证券交易额增速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19</w:t>
            </w:r>
          </w:p>
        </w:tc>
        <w:tc>
          <w:tcPr>
            <w:tcW w:w="13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4.保费收入增速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single" w:color="000000"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737" w:hRule="atLeast"/>
          <w:jc w:val="center"/>
        </w:trPr>
        <w:tc>
          <w:tcPr>
            <w:tcW w:w="532" w:type="dxa"/>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20</w:t>
            </w:r>
          </w:p>
        </w:tc>
        <w:tc>
          <w:tcPr>
            <w:tcW w:w="1305" w:type="dxa"/>
            <w:vMerge w:val="restart"/>
            <w:tcBorders>
              <w:top w:val="nil"/>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房地产业</w:t>
            </w:r>
          </w:p>
        </w:tc>
        <w:tc>
          <w:tcPr>
            <w:tcW w:w="3810"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1.商品房销售面积增速</w:t>
            </w:r>
          </w:p>
        </w:tc>
        <w:tc>
          <w:tcPr>
            <w:tcW w:w="1050" w:type="dxa"/>
            <w:vMerge w:val="restart"/>
            <w:tcBorders>
              <w:top w:val="nil"/>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张克梅</w:t>
            </w:r>
          </w:p>
        </w:tc>
        <w:tc>
          <w:tcPr>
            <w:tcW w:w="1605" w:type="dxa"/>
            <w:vMerge w:val="restart"/>
            <w:tcBorders>
              <w:top w:val="nil"/>
              <w:left w:val="nil"/>
              <w:bottom w:val="single" w:color="auto"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区房产中心</w:t>
            </w:r>
          </w:p>
        </w:tc>
        <w:tc>
          <w:tcPr>
            <w:tcW w:w="1073"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区重点处</w:t>
            </w:r>
          </w:p>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区安置办</w:t>
            </w:r>
          </w:p>
        </w:tc>
      </w:tr>
      <w:tr>
        <w:tblPrEx>
          <w:tblCellMar>
            <w:top w:w="15" w:type="dxa"/>
            <w:left w:w="15" w:type="dxa"/>
            <w:bottom w:w="15" w:type="dxa"/>
            <w:right w:w="15" w:type="dxa"/>
          </w:tblCellMar>
        </w:tblPrEx>
        <w:trPr>
          <w:trHeight w:val="510" w:hRule="atLeast"/>
          <w:jc w:val="center"/>
        </w:trPr>
        <w:tc>
          <w:tcPr>
            <w:tcW w:w="53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21</w:t>
            </w:r>
          </w:p>
        </w:tc>
        <w:tc>
          <w:tcPr>
            <w:tcW w:w="1305"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auto"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2.房地产业从业人员工资总额增速*</w:t>
            </w:r>
          </w:p>
        </w:tc>
        <w:tc>
          <w:tcPr>
            <w:tcW w:w="1050"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22</w:t>
            </w:r>
          </w:p>
        </w:tc>
        <w:tc>
          <w:tcPr>
            <w:tcW w:w="1305"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3.自有住房服务增加值增速</w:t>
            </w:r>
          </w:p>
        </w:tc>
        <w:tc>
          <w:tcPr>
            <w:tcW w:w="1050"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single" w:color="auto" w:sz="4" w:space="0"/>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23</w:t>
            </w:r>
          </w:p>
        </w:tc>
        <w:tc>
          <w:tcPr>
            <w:tcW w:w="13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其他营利性服务业</w:t>
            </w: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1.电信业务总量增速</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 </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上级反馈</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24</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2其他服务业营业收入△</w:t>
            </w:r>
          </w:p>
        </w:tc>
        <w:tc>
          <w:tcPr>
            <w:tcW w:w="1050" w:type="dxa"/>
            <w:vMerge w:val="restart"/>
            <w:tcBorders>
              <w:top w:val="nil"/>
              <w:left w:val="nil"/>
              <w:bottom w:val="nil"/>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周泽道</w:t>
            </w:r>
          </w:p>
        </w:tc>
        <w:tc>
          <w:tcPr>
            <w:tcW w:w="16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区发改委</w:t>
            </w:r>
          </w:p>
        </w:tc>
        <w:tc>
          <w:tcPr>
            <w:tcW w:w="1073" w:type="dxa"/>
            <w:vMerge w:val="restart"/>
            <w:tcBorders>
              <w:top w:val="nil"/>
              <w:left w:val="nil"/>
              <w:bottom w:val="nil"/>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 </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szCs w:val="21"/>
              </w:rPr>
              <w:t>25</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3.其他四大营利性服务业工资总额增速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073"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510" w:hRule="atLeast"/>
          <w:jc w:val="center"/>
        </w:trPr>
        <w:tc>
          <w:tcPr>
            <w:tcW w:w="532" w:type="dxa"/>
            <w:vMerge w:val="restart"/>
            <w:tcBorders>
              <w:top w:val="nil"/>
              <w:left w:val="single" w:color="000000" w:sz="4" w:space="0"/>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26</w:t>
            </w:r>
          </w:p>
        </w:tc>
        <w:tc>
          <w:tcPr>
            <w:tcW w:w="1305" w:type="dxa"/>
            <w:vMerge w:val="restart"/>
            <w:tcBorders>
              <w:top w:val="nil"/>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其他非营利性服务业</w:t>
            </w:r>
          </w:p>
        </w:tc>
        <w:tc>
          <w:tcPr>
            <w:tcW w:w="2104" w:type="dxa"/>
            <w:vMerge w:val="restart"/>
            <w:tcBorders>
              <w:top w:val="nil"/>
              <w:left w:val="nil"/>
              <w:bottom w:val="nil"/>
              <w:right w:val="single" w:color="auto"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1水利、环境和公共设施管理业工资总额增速*</w:t>
            </w:r>
          </w:p>
        </w:tc>
        <w:tc>
          <w:tcPr>
            <w:tcW w:w="1706"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水利管理</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黄定荣</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区水利局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510" w:hRule="atLeast"/>
          <w:jc w:val="center"/>
        </w:trPr>
        <w:tc>
          <w:tcPr>
            <w:tcW w:w="532" w:type="dxa"/>
            <w:vMerge w:val="continue"/>
            <w:tcBorders>
              <w:top w:val="nil"/>
              <w:left w:val="single" w:color="000000" w:sz="4" w:space="0"/>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vMerge w:val="continue"/>
            <w:tcBorders>
              <w:top w:val="nil"/>
              <w:left w:val="nil"/>
              <w:bottom w:val="nil"/>
              <w:right w:val="single" w:color="auto" w:sz="4" w:space="0"/>
            </w:tcBorders>
            <w:vAlign w:val="center"/>
          </w:tcPr>
          <w:p>
            <w:pPr>
              <w:widowControl/>
              <w:spacing w:beforeAutospacing="1" w:afterAutospacing="1"/>
              <w:jc w:val="left"/>
              <w:rPr>
                <w:rFonts w:ascii="宋体" w:hAnsi="宋体" w:eastAsia="宋体" w:cs="宋体"/>
                <w:kern w:val="0"/>
                <w:sz w:val="24"/>
                <w:szCs w:val="24"/>
              </w:rPr>
            </w:pPr>
          </w:p>
        </w:tc>
        <w:tc>
          <w:tcPr>
            <w:tcW w:w="1706"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生态保护和环境治理</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张克梅</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区生态环境分局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918" w:hRule="atLeast"/>
          <w:jc w:val="center"/>
        </w:trPr>
        <w:tc>
          <w:tcPr>
            <w:tcW w:w="532" w:type="dxa"/>
            <w:vMerge w:val="continue"/>
            <w:tcBorders>
              <w:top w:val="nil"/>
              <w:left w:val="single" w:color="000000" w:sz="4" w:space="0"/>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vMerge w:val="continue"/>
            <w:tcBorders>
              <w:top w:val="nil"/>
              <w:left w:val="nil"/>
              <w:bottom w:val="nil"/>
              <w:right w:val="single" w:color="auto" w:sz="4" w:space="0"/>
            </w:tcBorders>
            <w:vAlign w:val="center"/>
          </w:tcPr>
          <w:p>
            <w:pPr>
              <w:widowControl/>
              <w:spacing w:beforeAutospacing="1" w:afterAutospacing="1"/>
              <w:jc w:val="left"/>
              <w:rPr>
                <w:rFonts w:ascii="宋体" w:hAnsi="宋体" w:eastAsia="宋体" w:cs="宋体"/>
                <w:kern w:val="0"/>
                <w:sz w:val="24"/>
                <w:szCs w:val="24"/>
              </w:rPr>
            </w:pPr>
          </w:p>
        </w:tc>
        <w:tc>
          <w:tcPr>
            <w:tcW w:w="1706"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公共设施管理</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方成群</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区城管局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区文旅局</w:t>
            </w:r>
          </w:p>
        </w:tc>
      </w:tr>
      <w:tr>
        <w:tblPrEx>
          <w:tblCellMar>
            <w:top w:w="15" w:type="dxa"/>
            <w:left w:w="15" w:type="dxa"/>
            <w:bottom w:w="15" w:type="dxa"/>
            <w:right w:w="15" w:type="dxa"/>
          </w:tblCellMar>
        </w:tblPrEx>
        <w:trPr>
          <w:trHeight w:val="510" w:hRule="atLeast"/>
          <w:jc w:val="center"/>
        </w:trPr>
        <w:tc>
          <w:tcPr>
            <w:tcW w:w="532" w:type="dxa"/>
            <w:vMerge w:val="continue"/>
            <w:tcBorders>
              <w:top w:val="nil"/>
              <w:left w:val="single" w:color="000000" w:sz="4" w:space="0"/>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vMerge w:val="continue"/>
            <w:tcBorders>
              <w:top w:val="nil"/>
              <w:left w:val="nil"/>
              <w:bottom w:val="nil"/>
              <w:right w:val="single" w:color="auto" w:sz="4" w:space="0"/>
            </w:tcBorders>
            <w:vAlign w:val="center"/>
          </w:tcPr>
          <w:p>
            <w:pPr>
              <w:widowControl/>
              <w:spacing w:beforeAutospacing="1" w:afterAutospacing="1"/>
              <w:jc w:val="left"/>
              <w:rPr>
                <w:rFonts w:ascii="宋体" w:hAnsi="宋体" w:eastAsia="宋体" w:cs="宋体"/>
                <w:kern w:val="0"/>
                <w:sz w:val="24"/>
                <w:szCs w:val="24"/>
              </w:rPr>
            </w:pPr>
          </w:p>
        </w:tc>
        <w:tc>
          <w:tcPr>
            <w:tcW w:w="1706"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土地管理</w:t>
            </w:r>
          </w:p>
        </w:tc>
        <w:tc>
          <w:tcPr>
            <w:tcW w:w="105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周泽道</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区自然资源局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27</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2.教育工资总额增速*</w:t>
            </w:r>
          </w:p>
        </w:tc>
        <w:tc>
          <w:tcPr>
            <w:tcW w:w="1050" w:type="dxa"/>
            <w:vMerge w:val="restart"/>
            <w:tcBorders>
              <w:top w:val="nil"/>
              <w:left w:val="nil"/>
              <w:bottom w:val="nil"/>
              <w:right w:val="single" w:color="000000" w:sz="4"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color w:val="000000"/>
                <w:kern w:val="0"/>
                <w:szCs w:val="21"/>
              </w:rPr>
              <w:t>王务兵</w:t>
            </w:r>
          </w:p>
        </w:tc>
        <w:tc>
          <w:tcPr>
            <w:tcW w:w="1605" w:type="dxa"/>
            <w:tcBorders>
              <w:top w:val="single" w:color="000000" w:sz="4" w:space="0"/>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区教育局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510" w:hRule="atLeast"/>
          <w:jc w:val="center"/>
        </w:trPr>
        <w:tc>
          <w:tcPr>
            <w:tcW w:w="532" w:type="dxa"/>
            <w:vMerge w:val="restart"/>
            <w:tcBorders>
              <w:top w:val="nil"/>
              <w:left w:val="single" w:color="000000" w:sz="4" w:space="0"/>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28</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2104" w:type="dxa"/>
            <w:vMerge w:val="restart"/>
            <w:tcBorders>
              <w:top w:val="nil"/>
              <w:left w:val="nil"/>
              <w:bottom w:val="nil"/>
              <w:right w:val="single" w:color="auto"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3.卫生和社会工作工资总额增速*</w:t>
            </w:r>
          </w:p>
        </w:tc>
        <w:tc>
          <w:tcPr>
            <w:tcW w:w="1706"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卫生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区卫健委</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510" w:hRule="atLeast"/>
          <w:jc w:val="center"/>
        </w:trPr>
        <w:tc>
          <w:tcPr>
            <w:tcW w:w="532" w:type="dxa"/>
            <w:vMerge w:val="continue"/>
            <w:tcBorders>
              <w:top w:val="nil"/>
              <w:left w:val="single" w:color="000000" w:sz="4" w:space="0"/>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vMerge w:val="continue"/>
            <w:tcBorders>
              <w:top w:val="nil"/>
              <w:left w:val="nil"/>
              <w:bottom w:val="nil"/>
              <w:right w:val="single" w:color="auto" w:sz="4" w:space="0"/>
            </w:tcBorders>
            <w:vAlign w:val="center"/>
          </w:tcPr>
          <w:p>
            <w:pPr>
              <w:widowControl/>
              <w:spacing w:beforeAutospacing="1" w:afterAutospacing="1"/>
              <w:jc w:val="left"/>
              <w:rPr>
                <w:rFonts w:ascii="宋体" w:hAnsi="宋体" w:eastAsia="宋体" w:cs="宋体"/>
                <w:kern w:val="0"/>
                <w:sz w:val="24"/>
                <w:szCs w:val="24"/>
              </w:rPr>
            </w:pPr>
          </w:p>
        </w:tc>
        <w:tc>
          <w:tcPr>
            <w:tcW w:w="1706" w:type="dxa"/>
            <w:tcBorders>
              <w:top w:val="single" w:color="000000" w:sz="4" w:space="0"/>
              <w:left w:val="nil"/>
              <w:bottom w:val="nil"/>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社会工作</w:t>
            </w:r>
          </w:p>
        </w:tc>
        <w:tc>
          <w:tcPr>
            <w:tcW w:w="1050" w:type="dxa"/>
            <w:vMerge w:val="restart"/>
            <w:tcBorders>
              <w:top w:val="nil"/>
              <w:left w:val="nil"/>
              <w:bottom w:val="nil"/>
              <w:right w:val="single" w:color="000000" w:sz="4" w:space="0"/>
            </w:tcBorders>
            <w:vAlign w:val="center"/>
          </w:tcPr>
          <w:p>
            <w:pPr>
              <w:widowControl/>
              <w:spacing w:line="300" w:lineRule="exact"/>
              <w:ind w:firstLine="210"/>
              <w:jc w:val="center"/>
              <w:rPr>
                <w:rFonts w:ascii="宋体" w:hAnsi="宋体" w:eastAsia="宋体" w:cs="宋体"/>
                <w:kern w:val="0"/>
                <w:sz w:val="24"/>
                <w:szCs w:val="24"/>
              </w:rPr>
            </w:pPr>
            <w:r>
              <w:rPr>
                <w:rFonts w:hint="eastAsia" w:ascii="宋体" w:hAnsi="宋体" w:eastAsia="宋体" w:cs="宋体"/>
                <w:color w:val="000000"/>
                <w:kern w:val="0"/>
                <w:szCs w:val="21"/>
              </w:rPr>
              <w:t>王卫军</w:t>
            </w:r>
          </w:p>
          <w:p>
            <w:pPr>
              <w:widowControl/>
              <w:spacing w:line="300" w:lineRule="exact"/>
              <w:ind w:firstLine="210"/>
              <w:jc w:val="center"/>
              <w:rPr>
                <w:rFonts w:ascii="宋体" w:hAnsi="宋体" w:eastAsia="宋体" w:cs="宋体"/>
                <w:kern w:val="0"/>
                <w:sz w:val="24"/>
                <w:szCs w:val="24"/>
              </w:rPr>
            </w:pPr>
            <w:r>
              <w:rPr>
                <w:rFonts w:hint="eastAsia" w:ascii="宋体" w:hAnsi="宋体" w:eastAsia="宋体" w:cs="宋体"/>
                <w:color w:val="000000"/>
                <w:kern w:val="0"/>
                <w:szCs w:val="21"/>
              </w:rPr>
              <w:t>张  运</w:t>
            </w: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区民政局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r>
      <w:tr>
        <w:tblPrEx>
          <w:tblCellMar>
            <w:top w:w="15" w:type="dxa"/>
            <w:left w:w="15" w:type="dxa"/>
            <w:bottom w:w="15" w:type="dxa"/>
            <w:right w:w="15"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szCs w:val="21"/>
              </w:rPr>
              <w:t>29</w:t>
            </w:r>
          </w:p>
        </w:tc>
        <w:tc>
          <w:tcPr>
            <w:tcW w:w="1305"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3810" w:type="dxa"/>
            <w:gridSpan w:val="2"/>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4.公共管理、社会保障和社会组织工资总额增速*</w:t>
            </w:r>
          </w:p>
        </w:tc>
        <w:tc>
          <w:tcPr>
            <w:tcW w:w="1050" w:type="dxa"/>
            <w:vMerge w:val="continue"/>
            <w:tcBorders>
              <w:top w:val="nil"/>
              <w:left w:val="nil"/>
              <w:bottom w:val="nil"/>
              <w:right w:val="single" w:color="000000" w:sz="4" w:space="0"/>
            </w:tcBorders>
            <w:vAlign w:val="center"/>
          </w:tcPr>
          <w:p>
            <w:pPr>
              <w:widowControl/>
              <w:spacing w:beforeAutospacing="1" w:afterAutospacing="1"/>
              <w:jc w:val="left"/>
              <w:rPr>
                <w:rFonts w:ascii="宋体" w:hAnsi="宋体" w:eastAsia="宋体" w:cs="宋体"/>
                <w:kern w:val="0"/>
                <w:sz w:val="24"/>
                <w:szCs w:val="24"/>
              </w:rPr>
            </w:pPr>
          </w:p>
        </w:tc>
        <w:tc>
          <w:tcPr>
            <w:tcW w:w="1605"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区人社局</w:t>
            </w:r>
          </w:p>
        </w:tc>
        <w:tc>
          <w:tcPr>
            <w:tcW w:w="1073" w:type="dxa"/>
            <w:tcBorders>
              <w:top w:val="single" w:color="000000" w:sz="4" w:space="0"/>
              <w:left w:val="nil"/>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kern w:val="0"/>
                <w:sz w:val="24"/>
                <w:szCs w:val="24"/>
              </w:rPr>
            </w:pPr>
            <w:r>
              <w:rPr>
                <w:rFonts w:hint="eastAsia" w:ascii="宋体" w:hAnsi="宋体" w:eastAsia="宋体" w:cs="宋体"/>
                <w:color w:val="000000"/>
                <w:kern w:val="0"/>
                <w:szCs w:val="21"/>
              </w:rPr>
              <w:t>区财政局</w:t>
            </w:r>
          </w:p>
        </w:tc>
      </w:tr>
    </w:tbl>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b/>
          <w:bCs/>
          <w:color w:val="000000"/>
          <w:sz w:val="28"/>
          <w:szCs w:val="28"/>
        </w:rPr>
        <w:t>注：△为季度错月数据，＃为四季度核算使用1-11月数据，*为四季度核算使用前三季度数据。</w:t>
      </w:r>
    </w:p>
    <w:p>
      <w:pPr>
        <w:widowControl/>
        <w:spacing w:before="100" w:beforeAutospacing="1" w:after="100" w:afterAutospacing="1"/>
        <w:jc w:val="left"/>
        <w:rPr>
          <w:rFonts w:hint="eastAsia" w:ascii="宋体" w:hAnsi="宋体" w:eastAsia="宋体" w:cs="宋体"/>
          <w:kern w:val="0"/>
          <w:sz w:val="24"/>
          <w:szCs w:val="24"/>
        </w:rPr>
      </w:pP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formatting="1" w:enforcement="1" w:cryptProviderType="rsaFull" w:cryptAlgorithmClass="hash" w:cryptAlgorithmType="typeAny" w:cryptAlgorithmSid="4" w:cryptSpinCount="0" w:hash="kAMBy0o+GMbcyNa3MUWgh6/zDMs=" w:salt="xi7zdHLnvBnG/i4wWptYxw=="/>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kN2MxNWRkNTlkYjA3YjNiYzkyZDQ4YmY1ODg5NTIifQ=="/>
  </w:docVars>
  <w:rsids>
    <w:rsidRoot w:val="00401050"/>
    <w:rsid w:val="00083CE2"/>
    <w:rsid w:val="001D6ABA"/>
    <w:rsid w:val="00401050"/>
    <w:rsid w:val="006D1E3D"/>
    <w:rsid w:val="008D28C4"/>
    <w:rsid w:val="00990BAD"/>
    <w:rsid w:val="00AC57E0"/>
    <w:rsid w:val="00CC5C8A"/>
    <w:rsid w:val="00E06932"/>
    <w:rsid w:val="18860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Indent 2"/>
    <w:basedOn w:val="1"/>
    <w:link w:val="8"/>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10"/>
    <w:basedOn w:val="6"/>
    <w:uiPriority w:val="0"/>
  </w:style>
  <w:style w:type="character" w:customStyle="1" w:styleId="8">
    <w:name w:val="正文文本缩进 2 字符"/>
    <w:basedOn w:val="6"/>
    <w:link w:val="3"/>
    <w:semiHidden/>
    <w:uiPriority w:val="99"/>
    <w:rPr>
      <w:rFonts w:ascii="宋体" w:hAnsi="宋体" w:eastAsia="宋体" w:cs="宋体"/>
      <w:kern w:val="0"/>
      <w:sz w:val="24"/>
      <w:szCs w:val="24"/>
    </w:rPr>
  </w:style>
  <w:style w:type="character" w:customStyle="1" w:styleId="9">
    <w:name w:val="15"/>
    <w:basedOn w:val="6"/>
    <w:uiPriority w:val="0"/>
  </w:style>
  <w:style w:type="character" w:customStyle="1" w:styleId="10">
    <w:name w:val="标题 2 字符"/>
    <w:basedOn w:val="6"/>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1942</Words>
  <Characters>2006</Characters>
  <Lines>16</Lines>
  <Paragraphs>4</Paragraphs>
  <TotalTime>0</TotalTime>
  <ScaleCrop>false</ScaleCrop>
  <LinksUpToDate>false</LinksUpToDate>
  <CharactersWithSpaces>2038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2021-12-16T00:54:00Z</dcterms:created>
  <dc:creator>dzzw36@sina.com</dc:creator>
  <cp:lastModifiedBy>want</cp:lastModifiedBy>
  <dcterms:modified xsi:type="dcterms:W3CDTF">2022-06-16T08:03:05Z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8F04F516FC864DBDAF8EAFE58D13176D</vt:lpwstr>
  </property>
</Properties>
</file>