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/>
          <w:sz w:val="44"/>
          <w:szCs w:val="44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附件3：</w:t>
      </w:r>
    </w:p>
    <w:p>
      <w:pPr>
        <w:pStyle w:val="2"/>
        <w:spacing w:afterLines="100" w:line="560" w:lineRule="exact"/>
        <w:jc w:val="center"/>
        <w:rPr>
          <w:rFonts w:ascii="黑体" w:hAnsi="宋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</w:rPr>
        <w:t>消防安全重点单位申报表</w:t>
      </w:r>
    </w:p>
    <w:bookmarkEnd w:id="0"/>
    <w:tbl>
      <w:tblPr>
        <w:tblStyle w:val="4"/>
        <w:tblW w:w="930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34"/>
        <w:gridCol w:w="1695"/>
        <w:gridCol w:w="1776"/>
        <w:gridCol w:w="1134"/>
        <w:gridCol w:w="1218"/>
        <w:gridCol w:w="1179"/>
        <w:gridCol w:w="11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消防安全责任人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消防安全管理人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是否原消防重点单位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□否□区、县级消防重点单位□地市级消防重点单位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439" w:type="dxa"/>
            <w:vMerge w:val="restart"/>
            <w:vAlign w:val="center"/>
          </w:tcPr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</w:t>
            </w: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属</w:t>
            </w: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□建筑面积≥</w:t>
            </w:r>
            <w:r>
              <w:rPr>
                <w:rFonts w:ascii="仿宋_GB2312" w:eastAsia="仿宋_GB2312"/>
              </w:rPr>
              <w:t>1000</w:t>
            </w:r>
            <w:r>
              <w:rPr>
                <w:rFonts w:hint="eastAsia" w:ascii="宋体" w:hAnsi="宋体" w:cs="宋体"/>
              </w:rPr>
              <w:t>㎡</w:t>
            </w:r>
            <w:r>
              <w:rPr>
                <w:rFonts w:hint="eastAsia" w:ascii="仿宋_GB2312" w:eastAsia="仿宋_GB2312"/>
              </w:rPr>
              <w:t>经营可燃物品的商店（商场、市场）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□客房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hint="eastAsia" w:ascii="仿宋_GB2312" w:eastAsia="仿宋_GB2312"/>
              </w:rPr>
              <w:t>间以上的旅馆（旅社、饭店）□公共的体育场（馆）、会堂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□建筑面积≥</w:t>
            </w:r>
            <w:r>
              <w:rPr>
                <w:rFonts w:ascii="仿宋_GB2312" w:eastAsia="仿宋_GB2312"/>
              </w:rPr>
              <w:t xml:space="preserve">200 </w:t>
            </w:r>
            <w:r>
              <w:rPr>
                <w:rFonts w:hint="eastAsia" w:ascii="宋体" w:hAnsi="宋体" w:cs="宋体"/>
              </w:rPr>
              <w:t>㎡</w:t>
            </w:r>
            <w:r>
              <w:rPr>
                <w:rFonts w:hint="eastAsia" w:ascii="仿宋_GB2312" w:eastAsia="仿宋_GB2312"/>
              </w:rPr>
              <w:t>的公共娱乐场所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□住院床位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hint="eastAsia" w:ascii="仿宋_GB2312" w:eastAsia="仿宋_GB2312"/>
              </w:rPr>
              <w:t>张以上的医院、养老院、托儿所、幼儿园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□学生住宿床位在</w:t>
            </w:r>
            <w:r>
              <w:rPr>
                <w:rFonts w:ascii="仿宋_GB2312" w:eastAsia="仿宋_GB2312"/>
              </w:rPr>
              <w:t>100</w:t>
            </w:r>
            <w:r>
              <w:rPr>
                <w:rFonts w:hint="eastAsia" w:ascii="仿宋_GB2312" w:eastAsia="仿宋_GB2312"/>
              </w:rPr>
              <w:t>张以上的学校□城镇的邮政和通信枢纽单位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□广播电台、电视台□县级以上的党委、人大、政府、政协、检察院、法院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□候车厅、候船厅的建筑面积≥</w:t>
            </w:r>
            <w:r>
              <w:rPr>
                <w:rFonts w:ascii="仿宋_GB2312" w:eastAsia="仿宋_GB2312"/>
              </w:rPr>
              <w:t xml:space="preserve">500 </w:t>
            </w:r>
            <w:r>
              <w:rPr>
                <w:rFonts w:hint="eastAsia" w:ascii="宋体" w:hAnsi="宋体" w:cs="宋体"/>
              </w:rPr>
              <w:t>㎡</w:t>
            </w:r>
            <w:r>
              <w:rPr>
                <w:rFonts w:hint="eastAsia" w:ascii="仿宋_GB2312" w:eastAsia="仿宋_GB2312"/>
              </w:rPr>
              <w:t>的客运车站、码头□民用机场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□公共博物馆、档案馆□营业厅建筑面积在</w:t>
            </w:r>
            <w:r>
              <w:rPr>
                <w:rFonts w:ascii="仿宋_GB2312" w:eastAsia="仿宋_GB2312"/>
              </w:rPr>
              <w:t>500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hint="eastAsia" w:ascii="仿宋_GB2312" w:eastAsia="仿宋_GB2312"/>
              </w:rPr>
              <w:t>以上的证券交易所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□建筑面积≥</w:t>
            </w:r>
            <w:r>
              <w:rPr>
                <w:rFonts w:ascii="仿宋_GB2312" w:eastAsia="仿宋_GB2312"/>
              </w:rPr>
              <w:t>200</w:t>
            </w:r>
            <w:r>
              <w:rPr>
                <w:rFonts w:hint="eastAsia" w:ascii="仿宋_GB2312" w:eastAsia="仿宋_GB2312"/>
              </w:rPr>
              <w:t>0</w:t>
            </w:r>
            <w:r>
              <w:rPr>
                <w:rFonts w:hint="eastAsia" w:ascii="宋体" w:hAnsi="宋体" w:cs="宋体"/>
              </w:rPr>
              <w:t>㎡</w:t>
            </w:r>
            <w:r>
              <w:rPr>
                <w:rFonts w:hint="eastAsia" w:ascii="仿宋_GB2312" w:eastAsia="仿宋_GB2312"/>
              </w:rPr>
              <w:t>的公共图书馆、展览馆□支行级以上的银行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□具有火灾危险性的县级以上文物保护单位□发电厂（站）和电网经营企业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□生产易燃易爆化学物品（甲、乙类）的工厂□储存易燃易爆化学物品的专用仓库（堆场、储罐场）□营业性汽车加油站、加气站、液化石油气供应站（换瓶站）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□易燃易爆气体和液体的灌装站、调压站□经营易燃易爆化学物品（甲、乙类）的商店，店内存放总量：省辖市超过1000公斤、县（市）超过500公斤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□生产车间员工</w:t>
            </w:r>
            <w:r>
              <w:rPr>
                <w:rFonts w:ascii="仿宋_GB2312" w:eastAsia="仿宋_GB2312"/>
              </w:rPr>
              <w:t>100</w:t>
            </w:r>
            <w:r>
              <w:rPr>
                <w:rFonts w:hint="eastAsia" w:ascii="仿宋_GB2312" w:eastAsia="仿宋_GB2312"/>
              </w:rPr>
              <w:t>人以上的服装、鞋帽、玩具等劳动密集型企业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□国家和省级或承担国家和省级重点重点科研项目或价值超过1000万元的科研单位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□科研试验中有火灾爆炸危险的科研单位□储存易燃易爆化学物品超过200公斤的科研单位□高层办公楼（写字楼）、公寓楼□国家和省级等重点工程的施工现场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□城市地下铁道、地下观光隧道等地下公共建筑和城市重要的交通隧道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□国家储备粮库、总储量在</w:t>
            </w:r>
            <w:r>
              <w:rPr>
                <w:rFonts w:ascii="仿宋_GB2312" w:eastAsia="仿宋_GB2312"/>
              </w:rPr>
              <w:t>10000</w:t>
            </w:r>
            <w:r>
              <w:rPr>
                <w:rFonts w:hint="eastAsia" w:ascii="仿宋_GB2312" w:eastAsia="仿宋_GB2312"/>
              </w:rPr>
              <w:t>吨以上的其他粮库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□总储量在</w:t>
            </w:r>
            <w:r>
              <w:rPr>
                <w:rFonts w:ascii="仿宋_GB2312" w:eastAsia="仿宋_GB2312"/>
              </w:rPr>
              <w:t>500</w:t>
            </w:r>
            <w:r>
              <w:rPr>
                <w:rFonts w:hint="eastAsia" w:ascii="仿宋_GB2312" w:eastAsia="仿宋_GB2312"/>
              </w:rPr>
              <w:t>吨以上的棉库□总储量在</w:t>
            </w:r>
            <w:r>
              <w:rPr>
                <w:rFonts w:ascii="仿宋_GB2312" w:eastAsia="仿宋_GB2312"/>
              </w:rPr>
              <w:t>10000</w:t>
            </w:r>
            <w:r>
              <w:rPr>
                <w:rFonts w:hint="eastAsia" w:ascii="宋体" w:hAnsi="宋体" w:cs="宋体"/>
              </w:rPr>
              <w:t>㎡</w:t>
            </w:r>
            <w:r>
              <w:rPr>
                <w:rFonts w:hint="eastAsia" w:ascii="仿宋_GB2312" w:eastAsia="仿宋_GB2312"/>
              </w:rPr>
              <w:t>的以上的木材堆场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□总储量在</w:t>
            </w:r>
            <w:r>
              <w:rPr>
                <w:rFonts w:ascii="仿宋_GB2312" w:eastAsia="仿宋_GB2312"/>
              </w:rPr>
              <w:t>1000</w:t>
            </w:r>
            <w:r>
              <w:rPr>
                <w:rFonts w:hint="eastAsia" w:ascii="仿宋_GB2312" w:eastAsia="仿宋_GB2312"/>
              </w:rPr>
              <w:t>万元以上的可燃物品仓库、堆场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3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6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□固定资产（建筑、设备等）价值：在省辖市超过</w:t>
            </w: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亿元，在县（市）超过5000万元的电子、汽车、钢铁、造船、烟草、纺织、造纸工业等企业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9304" w:type="dxa"/>
            <w:gridSpan w:val="8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根据《机关、团体、企业、事业单位消防安全管理规定》（公安部令第61号），我单位属第十三条所列范围之内，现申报备案。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单位（盖章）：</w:t>
            </w:r>
          </w:p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法定代表人（签字）：消防安全管理人（签字）：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（即消防安全责任人）</w:t>
            </w:r>
          </w:p>
          <w:p>
            <w:pPr>
              <w:wordWrap w:val="0"/>
              <w:spacing w:afterLines="50"/>
              <w:ind w:right="420" w:firstLine="6195" w:firstLineChars="2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年月日</w:t>
            </w:r>
          </w:p>
        </w:tc>
      </w:tr>
    </w:tbl>
    <w:p>
      <w:pPr>
        <w:pStyle w:val="2"/>
        <w:snapToGrid w:val="0"/>
        <w:spacing w:beforeLines="50" w:line="2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注：1、各单位自行对照，并在申报单位属性栏内选择一项打“√”。</w:t>
      </w:r>
    </w:p>
    <w:p>
      <w:pPr>
        <w:pStyle w:val="2"/>
        <w:snapToGrid w:val="0"/>
        <w:spacing w:line="200" w:lineRule="exact"/>
        <w:ind w:firstLine="42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公共娱乐场所是指向公众开放的下列室内场所：（1）影剧院、录像厅、礼堂等演出、放映场所；（2）舞厅、卡拉ok厅等歌舞娱乐场所；（3）具有娱乐功能的夜总会、音乐茶座和餐饮场所；（4）游艺、游乐场所；（5）保龄球馆、旱冰场、桑拿浴室等营业性健身、休闲场所。</w:t>
      </w:r>
    </w:p>
    <w:p/>
    <w:sectPr>
      <w:pgSz w:w="11906" w:h="16838"/>
      <w:pgMar w:top="2098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506D"/>
    <w:rsid w:val="0170506D"/>
    <w:rsid w:val="066956FE"/>
    <w:rsid w:val="0D4E3BEC"/>
    <w:rsid w:val="236749DF"/>
    <w:rsid w:val="23A71909"/>
    <w:rsid w:val="2ABB7669"/>
    <w:rsid w:val="32A72E9D"/>
    <w:rsid w:val="4E3234A2"/>
    <w:rsid w:val="61317E84"/>
    <w:rsid w:val="67BA5527"/>
    <w:rsid w:val="6F9B096B"/>
    <w:rsid w:val="7C70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2023-01-10T07:33:00Z</dcterms:created>
  <dc:creator>朱晶晶</dc:creator>
  <cp:lastModifiedBy>朱晶晶</cp:lastModifiedBy>
  <dcterms:modified xsi:type="dcterms:W3CDTF">2023-01-10T07:35:58Z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0E75F686639241CFB39E7D2314EFF772</vt:lpwstr>
  </property>
</Properties>
</file>