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0F1" w:rsidRDefault="000B30F1">
      <w:pPr>
        <w:rPr>
          <w:color w:val="000000" w:themeColor="text1"/>
        </w:rPr>
      </w:pPr>
    </w:p>
    <w:p w:rsidR="000B30F1" w:rsidRDefault="000B30F1">
      <w:pPr>
        <w:rPr>
          <w:color w:val="000000" w:themeColor="text1"/>
        </w:rPr>
      </w:pPr>
    </w:p>
    <w:p w:rsidR="000B30F1" w:rsidRDefault="000B30F1">
      <w:pPr>
        <w:rPr>
          <w:color w:val="000000" w:themeColor="text1"/>
        </w:rPr>
      </w:pPr>
    </w:p>
    <w:p w:rsidR="000B30F1" w:rsidRDefault="00000000">
      <w:pPr>
        <w:jc w:val="right"/>
        <w:rPr>
          <w:rFonts w:ascii="Times New Roman" w:hAnsi="Times New Roman" w:cs="Times New Roman"/>
          <w:color w:val="000000" w:themeColor="text1"/>
        </w:rPr>
      </w:pPr>
      <w:r>
        <w:rPr>
          <w:rFonts w:ascii="Times New Roman" w:hAnsi="Times New Roman" w:cs="Times New Roman"/>
          <w:color w:val="000000" w:themeColor="text1"/>
        </w:rPr>
        <w:t>金政办秘</w:t>
      </w:r>
      <w:r>
        <w:rPr>
          <w:rFonts w:cs="Times New Roman"/>
          <w:color w:val="000000" w:themeColor="text1"/>
        </w:rPr>
        <w:t>〔2022〕3</w:t>
      </w:r>
      <w:r>
        <w:rPr>
          <w:rFonts w:cs="Times New Roman" w:hint="eastAsia"/>
          <w:color w:val="000000" w:themeColor="text1"/>
        </w:rPr>
        <w:t>1</w:t>
      </w:r>
      <w:r>
        <w:rPr>
          <w:rFonts w:cs="Times New Roman"/>
          <w:color w:val="000000" w:themeColor="text1"/>
        </w:rPr>
        <w:t>号</w:t>
      </w:r>
    </w:p>
    <w:p w:rsidR="000B30F1" w:rsidRDefault="000B30F1">
      <w:pPr>
        <w:rPr>
          <w:color w:val="000000" w:themeColor="text1"/>
        </w:rPr>
      </w:pPr>
    </w:p>
    <w:p w:rsidR="000B30F1" w:rsidRDefault="000B30F1">
      <w:pPr>
        <w:rPr>
          <w:color w:val="000000" w:themeColor="text1"/>
        </w:rPr>
      </w:pPr>
    </w:p>
    <w:p w:rsidR="000B30F1" w:rsidRDefault="00000000">
      <w:pPr>
        <w:pStyle w:val="a5"/>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六安市金安区人民政府办公室关于印发</w:t>
      </w:r>
    </w:p>
    <w:p w:rsidR="000B30F1" w:rsidRDefault="00000000">
      <w:pPr>
        <w:pStyle w:val="a5"/>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金安区城市更新工作暂行办法的通知</w:t>
      </w:r>
    </w:p>
    <w:p w:rsidR="000B30F1" w:rsidRDefault="000B30F1">
      <w:pPr>
        <w:pStyle w:val="a5"/>
        <w:widowControl/>
        <w:spacing w:beforeAutospacing="0" w:afterAutospacing="0" w:line="540" w:lineRule="atLeast"/>
        <w:jc w:val="both"/>
        <w:rPr>
          <w:rFonts w:cs="仿宋_GB2312"/>
          <w:color w:val="000000" w:themeColor="text1"/>
          <w:sz w:val="32"/>
          <w:szCs w:val="32"/>
          <w:shd w:val="clear" w:color="auto" w:fill="FFFFFF"/>
        </w:rPr>
      </w:pPr>
    </w:p>
    <w:p w:rsidR="000B30F1" w:rsidRDefault="00000000">
      <w:pPr>
        <w:pStyle w:val="a5"/>
        <w:widowControl/>
        <w:spacing w:beforeAutospacing="0" w:afterAutospacing="0"/>
        <w:jc w:val="both"/>
        <w:rPr>
          <w:rFonts w:cs="仿宋_GB2312"/>
          <w:color w:val="000000" w:themeColor="text1"/>
          <w:sz w:val="32"/>
          <w:szCs w:val="32"/>
        </w:rPr>
      </w:pPr>
      <w:r>
        <w:rPr>
          <w:rFonts w:cs="仿宋_GB2312" w:hint="eastAsia"/>
          <w:color w:val="000000" w:themeColor="text1"/>
          <w:sz w:val="32"/>
          <w:szCs w:val="32"/>
          <w:shd w:val="clear" w:color="auto" w:fill="FFFFFF"/>
        </w:rPr>
        <w:t>有关乡镇人民政府、街道办事处，园区管委，区直有关单位：</w:t>
      </w:r>
    </w:p>
    <w:p w:rsidR="000B30F1" w:rsidRDefault="00000000">
      <w:pPr>
        <w:pStyle w:val="a5"/>
        <w:widowControl/>
        <w:spacing w:beforeAutospacing="0" w:afterAutospacing="0"/>
        <w:ind w:firstLineChars="200" w:firstLine="624"/>
        <w:jc w:val="both"/>
        <w:rPr>
          <w:rFonts w:cs="仿宋_GB2312"/>
          <w:color w:val="000000" w:themeColor="text1"/>
          <w:sz w:val="32"/>
          <w:szCs w:val="32"/>
        </w:rPr>
      </w:pPr>
      <w:r>
        <w:rPr>
          <w:rFonts w:cs="仿宋_GB2312" w:hint="eastAsia"/>
          <w:color w:val="000000" w:themeColor="text1"/>
          <w:sz w:val="32"/>
          <w:szCs w:val="32"/>
          <w:shd w:val="clear" w:color="auto" w:fill="FFFFFF"/>
        </w:rPr>
        <w:t>经区政府同意，现将《金安区城市更新工作暂行办法》印发给你们，请认真组织实施。</w:t>
      </w:r>
    </w:p>
    <w:p w:rsidR="000B30F1" w:rsidRDefault="000B30F1">
      <w:pPr>
        <w:rPr>
          <w:color w:val="000000" w:themeColor="text1"/>
        </w:rPr>
      </w:pPr>
    </w:p>
    <w:p w:rsidR="000B30F1" w:rsidRDefault="000B30F1">
      <w:pPr>
        <w:rPr>
          <w:color w:val="000000" w:themeColor="text1"/>
        </w:rPr>
      </w:pPr>
    </w:p>
    <w:p w:rsidR="000B30F1" w:rsidRDefault="000B30F1">
      <w:pPr>
        <w:rPr>
          <w:color w:val="000000" w:themeColor="text1"/>
        </w:rPr>
      </w:pPr>
    </w:p>
    <w:p w:rsidR="000B30F1" w:rsidRDefault="00000000">
      <w:pPr>
        <w:pStyle w:val="a5"/>
        <w:widowControl/>
        <w:spacing w:beforeAutospacing="0" w:afterAutospacing="0"/>
        <w:ind w:firstLine="420"/>
        <w:jc w:val="center"/>
        <w:rPr>
          <w:rFonts w:cs="仿宋_GB2312"/>
          <w:color w:val="000000" w:themeColor="text1"/>
          <w:sz w:val="32"/>
          <w:szCs w:val="32"/>
        </w:rPr>
      </w:pPr>
      <w:r>
        <w:rPr>
          <w:rFonts w:cs="仿宋_GB2312" w:hint="eastAsia"/>
          <w:color w:val="000000" w:themeColor="text1"/>
          <w:sz w:val="32"/>
          <w:szCs w:val="32"/>
          <w:shd w:val="clear" w:color="auto" w:fill="FFFFFF"/>
        </w:rPr>
        <w:t xml:space="preserve">                       2022年7月5日</w:t>
      </w:r>
    </w:p>
    <w:p w:rsidR="000B30F1" w:rsidRDefault="000B30F1">
      <w:pPr>
        <w:pStyle w:val="a5"/>
        <w:widowControl/>
        <w:spacing w:beforeAutospacing="0" w:afterAutospacing="0"/>
        <w:ind w:firstLine="420"/>
        <w:jc w:val="center"/>
        <w:rPr>
          <w:rFonts w:cs="仿宋_GB2312"/>
          <w:b/>
          <w:bCs/>
          <w:color w:val="000000" w:themeColor="text1"/>
          <w:sz w:val="32"/>
          <w:szCs w:val="32"/>
          <w:shd w:val="clear" w:color="auto" w:fill="FFFFFF"/>
        </w:rPr>
      </w:pPr>
    </w:p>
    <w:p w:rsidR="000B30F1" w:rsidRDefault="000B30F1">
      <w:pPr>
        <w:pStyle w:val="a5"/>
        <w:widowControl/>
        <w:spacing w:beforeAutospacing="0" w:afterAutospacing="0" w:line="540" w:lineRule="atLeast"/>
        <w:ind w:firstLine="420"/>
        <w:jc w:val="center"/>
        <w:rPr>
          <w:rFonts w:ascii="微软雅黑" w:eastAsia="微软雅黑" w:hAnsi="微软雅黑" w:cs="微软雅黑"/>
          <w:b/>
          <w:bCs/>
          <w:color w:val="000000" w:themeColor="text1"/>
          <w:sz w:val="27"/>
          <w:szCs w:val="27"/>
          <w:shd w:val="clear" w:color="auto" w:fill="FFFFFF"/>
        </w:rPr>
      </w:pPr>
    </w:p>
    <w:p w:rsidR="000B30F1" w:rsidRDefault="000B30F1">
      <w:pPr>
        <w:pStyle w:val="a5"/>
        <w:widowControl/>
        <w:spacing w:beforeAutospacing="0" w:afterAutospacing="0" w:line="540" w:lineRule="atLeast"/>
        <w:ind w:firstLine="420"/>
        <w:jc w:val="center"/>
        <w:rPr>
          <w:rFonts w:ascii="微软雅黑" w:eastAsia="微软雅黑" w:hAnsi="微软雅黑" w:cs="微软雅黑"/>
          <w:b/>
          <w:bCs/>
          <w:color w:val="000000" w:themeColor="text1"/>
          <w:sz w:val="27"/>
          <w:szCs w:val="27"/>
          <w:shd w:val="clear" w:color="auto" w:fill="FFFFFF"/>
        </w:rPr>
      </w:pPr>
    </w:p>
    <w:p w:rsidR="000B30F1" w:rsidRDefault="000B30F1">
      <w:pPr>
        <w:pStyle w:val="a5"/>
        <w:widowControl/>
        <w:spacing w:beforeAutospacing="0" w:afterAutospacing="0" w:line="540" w:lineRule="atLeast"/>
        <w:ind w:firstLine="420"/>
        <w:jc w:val="center"/>
        <w:rPr>
          <w:rFonts w:ascii="微软雅黑" w:eastAsia="微软雅黑" w:hAnsi="微软雅黑" w:cs="微软雅黑"/>
          <w:b/>
          <w:bCs/>
          <w:color w:val="000000" w:themeColor="text1"/>
          <w:sz w:val="27"/>
          <w:szCs w:val="27"/>
          <w:shd w:val="clear" w:color="auto" w:fill="FFFFFF"/>
        </w:rPr>
      </w:pPr>
    </w:p>
    <w:p w:rsidR="000B30F1" w:rsidRDefault="000B30F1">
      <w:pPr>
        <w:pStyle w:val="a5"/>
        <w:widowControl/>
        <w:spacing w:beforeAutospacing="0" w:afterAutospacing="0" w:line="540" w:lineRule="atLeast"/>
        <w:ind w:firstLine="420"/>
        <w:jc w:val="center"/>
        <w:rPr>
          <w:rFonts w:ascii="微软雅黑" w:eastAsia="微软雅黑" w:hAnsi="微软雅黑" w:cs="微软雅黑"/>
          <w:b/>
          <w:bCs/>
          <w:color w:val="000000" w:themeColor="text1"/>
          <w:sz w:val="27"/>
          <w:szCs w:val="27"/>
          <w:shd w:val="clear" w:color="auto" w:fill="FFFFFF"/>
        </w:rPr>
      </w:pPr>
    </w:p>
    <w:p w:rsidR="000B30F1" w:rsidRDefault="000B30F1">
      <w:pPr>
        <w:pStyle w:val="a5"/>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pPr>
    </w:p>
    <w:p w:rsidR="000B30F1" w:rsidRDefault="000B30F1">
      <w:pPr>
        <w:pStyle w:val="a5"/>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sectPr w:rsidR="000B30F1">
          <w:pgSz w:w="11906" w:h="16838"/>
          <w:pgMar w:top="2098" w:right="1587" w:bottom="1587" w:left="1587" w:header="1134" w:footer="1361" w:gutter="0"/>
          <w:cols w:space="0"/>
          <w:docGrid w:type="linesAndChars" w:linePitch="597" w:charSpace="-1668"/>
        </w:sectPr>
      </w:pPr>
    </w:p>
    <w:p w:rsidR="000B30F1" w:rsidRDefault="00000000">
      <w:pPr>
        <w:pStyle w:val="a5"/>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lastRenderedPageBreak/>
        <w:t>金安区城市更新工作暂行办法</w:t>
      </w:r>
    </w:p>
    <w:p w:rsidR="000B30F1" w:rsidRDefault="000B30F1">
      <w:pPr>
        <w:pStyle w:val="a5"/>
        <w:widowControl/>
        <w:spacing w:beforeAutospacing="0" w:afterAutospacing="0" w:line="530" w:lineRule="exact"/>
        <w:ind w:firstLineChars="200" w:firstLine="624"/>
        <w:jc w:val="both"/>
        <w:rPr>
          <w:rFonts w:cs="仿宋_GB2312"/>
          <w:color w:val="000000" w:themeColor="text1"/>
          <w:sz w:val="32"/>
          <w:szCs w:val="32"/>
          <w:shd w:val="clear" w:color="auto" w:fill="FFFFFF"/>
        </w:rPr>
      </w:pP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第一条 </w:t>
      </w:r>
      <w:r>
        <w:rPr>
          <w:rFonts w:cs="仿宋_GB2312" w:hint="eastAsia"/>
          <w:color w:val="000000" w:themeColor="text1"/>
          <w:sz w:val="32"/>
          <w:szCs w:val="32"/>
          <w:shd w:val="clear" w:color="auto" w:fill="FFFFFF"/>
        </w:rPr>
        <w:t xml:space="preserve"> 为规范城市更新活动，创新城市发展模式，改善民生福祉，优化公共服务设施和产业布局，推动城市高质量发展，根据《国务院办公厅关于全面推进城镇老旧小区改造工作的指导意见》（国办发〔2020〕23号）、《安徽省人民政府办公厅印发关于实施城市更新行动推动城市高质量发展实施方案的通知》（皖政办〔2021〕13号）等有关规定，结合我区实际，制定本办法。</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第二条 </w:t>
      </w:r>
      <w:r>
        <w:rPr>
          <w:rFonts w:cs="仿宋_GB2312" w:hint="eastAsia"/>
          <w:color w:val="000000" w:themeColor="text1"/>
          <w:sz w:val="32"/>
          <w:szCs w:val="32"/>
          <w:shd w:val="clear" w:color="auto" w:fill="FFFFFF"/>
        </w:rPr>
        <w:t xml:space="preserve"> 本办法所称城市更新，是指在符合六安市国土空间规划和总体城市设计前提下，对金安城区空间形态和功能进行保护、整治、改善、优化，从而实现房屋使用、市政设施、公建配套等全面完善，产业结构、环境品质、文化传承等全面提升的建设活动。</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第三条 </w:t>
      </w:r>
      <w:r>
        <w:rPr>
          <w:rFonts w:cs="仿宋_GB2312" w:hint="eastAsia"/>
          <w:color w:val="000000" w:themeColor="text1"/>
          <w:sz w:val="32"/>
          <w:szCs w:val="32"/>
          <w:shd w:val="clear" w:color="auto" w:fill="FFFFFF"/>
        </w:rPr>
        <w:t xml:space="preserve"> 城市更新遵循“规划引领、统筹推进，政府推动、市场运作，数字赋能、绿色低碳，民生优先、共建共享”的原则，坚持“留改拆”并举，保留利用提升为主。</w:t>
      </w:r>
    </w:p>
    <w:p w:rsidR="000B30F1" w:rsidRDefault="00000000">
      <w:pPr>
        <w:pStyle w:val="a5"/>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第四条 </w:t>
      </w:r>
      <w:r>
        <w:rPr>
          <w:rFonts w:cs="仿宋_GB2312" w:hint="eastAsia"/>
          <w:color w:val="000000" w:themeColor="text1"/>
          <w:sz w:val="32"/>
          <w:szCs w:val="32"/>
          <w:shd w:val="clear" w:color="auto" w:fill="FFFFFF"/>
        </w:rPr>
        <w:t xml:space="preserve"> 城市更新主要包括开展城市体检评估，实施老旧小区改造、棚户区改造、城市危旧房及老旧厂房改造提升、城市生态修复、城市功能完善、城市基础设施补短板、城市安全韧性建设、新城建提升、城市风貌塑造和历史文化保护等工程，逐步调整优化城市结构、功能和布局，全面提升城市治理水平。</w:t>
      </w:r>
    </w:p>
    <w:p w:rsidR="000B30F1" w:rsidRDefault="00000000">
      <w:pPr>
        <w:pStyle w:val="a5"/>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第五条 </w:t>
      </w:r>
      <w:r>
        <w:rPr>
          <w:rFonts w:cs="仿宋_GB2312" w:hint="eastAsia"/>
          <w:color w:val="000000" w:themeColor="text1"/>
          <w:sz w:val="32"/>
          <w:szCs w:val="32"/>
          <w:shd w:val="clear" w:color="auto" w:fill="FFFFFF"/>
        </w:rPr>
        <w:t xml:space="preserve"> 建立金安区城市更新工作联席会议制度，统筹全</w:t>
      </w:r>
      <w:r>
        <w:rPr>
          <w:rFonts w:cs="仿宋_GB2312" w:hint="eastAsia"/>
          <w:color w:val="000000" w:themeColor="text1"/>
          <w:sz w:val="32"/>
          <w:szCs w:val="32"/>
          <w:shd w:val="clear" w:color="auto" w:fill="FFFFFF"/>
        </w:rPr>
        <w:lastRenderedPageBreak/>
        <w:t>区城市更新工作的顶层设计、政策研究、组织协调、方案审议、督查落实等，联席会议办公室设在区住建局，负责日常工作。</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第六条 </w:t>
      </w:r>
      <w:r>
        <w:rPr>
          <w:rFonts w:cs="仿宋_GB2312" w:hint="eastAsia"/>
          <w:color w:val="000000" w:themeColor="text1"/>
          <w:sz w:val="32"/>
          <w:szCs w:val="32"/>
          <w:shd w:val="clear" w:color="auto" w:fill="FFFFFF"/>
        </w:rPr>
        <w:t xml:space="preserve"> 区住建局负责统筹协调推进城市更新项目，拟制城市更新相关政策和考核办法，编制城市更新技术导则，初审城市更新行动计划和区级城市更新项目实施方案等。</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区自然资源局负责组织编制城市更新专项规划，确定城市更新目标、功能结构，划定更新单元等内容，承担城市更新土地管理职责。</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区商务局负责根据商业发展规划，协调、指导重点商业设施的城市更新相关工作。</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区发改、科技、公安、经信、民政、财政、生态环境、交通、水利、文旅、应急、城管、国资、房产、林业、金融、数管、税务、重点处等部门在各自职责范围内，协同开展城市更新相关工作。</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第七条 </w:t>
      </w:r>
      <w:r>
        <w:rPr>
          <w:rFonts w:cs="仿宋_GB2312" w:hint="eastAsia"/>
          <w:color w:val="000000" w:themeColor="text1"/>
          <w:sz w:val="32"/>
          <w:szCs w:val="32"/>
          <w:shd w:val="clear" w:color="auto" w:fill="FFFFFF"/>
        </w:rPr>
        <w:t xml:space="preserve"> 有关乡镇（街）对本辖区城市更新工作承担主体责任，负责组织、协调和管理辖区内城市更新工作，按照职责做好城市更新相关工作。</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第八条 </w:t>
      </w:r>
      <w:r>
        <w:rPr>
          <w:rFonts w:cs="仿宋_GB2312" w:hint="eastAsia"/>
          <w:color w:val="000000" w:themeColor="text1"/>
          <w:sz w:val="32"/>
          <w:szCs w:val="32"/>
          <w:shd w:val="clear" w:color="auto" w:fill="FFFFFF"/>
        </w:rPr>
        <w:t xml:space="preserve"> 城市更新专项规划经区规委会审议后，报</w:t>
      </w:r>
      <w:r w:rsidR="00B21C9A">
        <w:rPr>
          <w:rFonts w:cs="仿宋_GB2312" w:hint="eastAsia"/>
          <w:color w:val="000000" w:themeColor="text1"/>
          <w:sz w:val="32"/>
          <w:szCs w:val="32"/>
          <w:shd w:val="clear" w:color="auto" w:fill="FFFFFF"/>
        </w:rPr>
        <w:t>区政府</w:t>
      </w:r>
      <w:r>
        <w:rPr>
          <w:rFonts w:cs="仿宋_GB2312" w:hint="eastAsia"/>
          <w:color w:val="000000" w:themeColor="text1"/>
          <w:sz w:val="32"/>
          <w:szCs w:val="32"/>
          <w:shd w:val="clear" w:color="auto" w:fill="FFFFFF"/>
        </w:rPr>
        <w:t>履行报批手续。规划编制应当符合国民经济和社会发展规划、国土空间规划，划定城市更新单元，明确更新目标、功能结构、空间管控、规划布局、生态和文化保护、风貌特色营造、海绵城市建设、地下管线建设、公共设施完善等规划原则和控制指引。</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第九条 </w:t>
      </w:r>
      <w:r>
        <w:rPr>
          <w:rFonts w:cs="仿宋_GB2312" w:hint="eastAsia"/>
          <w:color w:val="000000" w:themeColor="text1"/>
          <w:sz w:val="32"/>
          <w:szCs w:val="32"/>
          <w:shd w:val="clear" w:color="auto" w:fill="FFFFFF"/>
        </w:rPr>
        <w:t xml:space="preserve"> 城市更新采取“区域+专项”行动计划方式实施。</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依据城市更新专项规划，有关乡镇（街）组织编制本辖区城市更新行动计划，各行业主管部门编制行业专项行动计划。</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联席会议办公室结合辖区行动计划、行业专项行动计划，统筹编制全区城市更新行动计划，制定区级城市更新项目的实施方案，经联席会议审议后，报上级部门审定。</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 xml:space="preserve">第十条  </w:t>
      </w:r>
      <w:r>
        <w:rPr>
          <w:rFonts w:cs="仿宋_GB2312" w:hint="eastAsia"/>
          <w:color w:val="000000" w:themeColor="text1"/>
          <w:sz w:val="32"/>
          <w:szCs w:val="32"/>
          <w:shd w:val="clear" w:color="auto" w:fill="FFFFFF"/>
        </w:rPr>
        <w:t>乡镇（街）城市更新实施方案自行制定，报区政府审定后实施。</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第十一条 </w:t>
      </w:r>
      <w:r>
        <w:rPr>
          <w:rFonts w:cs="仿宋_GB2312" w:hint="eastAsia"/>
          <w:color w:val="000000" w:themeColor="text1"/>
          <w:sz w:val="32"/>
          <w:szCs w:val="32"/>
          <w:shd w:val="clear" w:color="auto" w:fill="FFFFFF"/>
        </w:rPr>
        <w:t xml:space="preserve"> 城市更新行动计划应当明确具体项目、边界和规模、实施主体、实施内容、投融资模式、进度安排等。</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实施方案遵循统筹公共要素资源、确保公共利益等原则，包括规划设计方案、土地供应方案、资金筹措、可行性研究、建设运营方案、社会稳定风险评估等。</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编制实施方案应当履行征求意见、公众参与、专家论证、部门评议、社会公布等程序。</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第十二条 </w:t>
      </w:r>
      <w:r>
        <w:rPr>
          <w:rFonts w:cs="仿宋_GB2312" w:hint="eastAsia"/>
          <w:color w:val="000000" w:themeColor="text1"/>
          <w:sz w:val="32"/>
          <w:szCs w:val="32"/>
          <w:shd w:val="clear" w:color="auto" w:fill="FFFFFF"/>
        </w:rPr>
        <w:t xml:space="preserve"> 组织规划、交通、产业、建筑、景观、园林、科技、智慧城市、公共艺术、生态环境、城市安全、历史文化、社会（含民俗）、经济和法律等方面专业人员，为城市更新决策提供咨询服务。具体工作规则由区住建局牵头另行制定。</w:t>
      </w:r>
    </w:p>
    <w:p w:rsidR="000B30F1" w:rsidRDefault="00000000">
      <w:pPr>
        <w:pStyle w:val="a5"/>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第十三条 </w:t>
      </w:r>
      <w:r>
        <w:rPr>
          <w:rFonts w:cs="仿宋_GB2312" w:hint="eastAsia"/>
          <w:color w:val="000000" w:themeColor="text1"/>
          <w:sz w:val="32"/>
          <w:szCs w:val="32"/>
          <w:shd w:val="clear" w:color="auto" w:fill="FFFFFF"/>
        </w:rPr>
        <w:t xml:space="preserve"> 城市更新项目应当符合国土空间规划要求，涉及调整控制性详细规划的城市更新项目，应当经区政府同意，并纳入城市更新行动计划，同步启动控制性详细规划调整方案的编</w:t>
      </w:r>
      <w:r>
        <w:rPr>
          <w:rFonts w:cs="仿宋_GB2312" w:hint="eastAsia"/>
          <w:color w:val="000000" w:themeColor="text1"/>
          <w:sz w:val="32"/>
          <w:szCs w:val="32"/>
          <w:shd w:val="clear" w:color="auto" w:fill="FFFFFF"/>
        </w:rPr>
        <w:lastRenderedPageBreak/>
        <w:t>制工作。</w:t>
      </w:r>
    </w:p>
    <w:p w:rsidR="000B30F1" w:rsidRDefault="00000000">
      <w:pPr>
        <w:pStyle w:val="a5"/>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第十四条 </w:t>
      </w:r>
      <w:r>
        <w:rPr>
          <w:rFonts w:cs="仿宋_GB2312" w:hint="eastAsia"/>
          <w:color w:val="000000" w:themeColor="text1"/>
          <w:sz w:val="32"/>
          <w:szCs w:val="32"/>
          <w:shd w:val="clear" w:color="auto" w:fill="FFFFFF"/>
        </w:rPr>
        <w:t xml:space="preserve"> 区直相关部门应当按照“放管服”改革及优化营商环境的要求，精简城市更新项目审批材料和事项，缩减审批时限，优化审批环节，提高审批效能。</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第十五条 </w:t>
      </w:r>
      <w:r>
        <w:rPr>
          <w:rFonts w:cs="仿宋_GB2312" w:hint="eastAsia"/>
          <w:color w:val="000000" w:themeColor="text1"/>
          <w:sz w:val="32"/>
          <w:szCs w:val="32"/>
          <w:shd w:val="clear" w:color="auto" w:fill="FFFFFF"/>
        </w:rPr>
        <w:t xml:space="preserve"> 强化城市更新项目用地保障，在符合国土空间规划前提下，因公共利益需要的，可以按程序报批、调整用地性质和用途。</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cs="仿宋_GB2312" w:hint="eastAsia"/>
          <w:color w:val="000000" w:themeColor="text1"/>
          <w:sz w:val="32"/>
          <w:szCs w:val="32"/>
          <w:shd w:val="clear" w:color="auto" w:fill="FFFFFF"/>
        </w:rPr>
        <w:t>推行将城市更新项目纳入土地全生命周期管理，结合城市规划、产业规划、区域配套、公共服务等因素，将项目功能、建设计划、公共要素供给、产业绩效、运营管理、自持转让和节能环保等要求，纳入土地使用权出让合同进行监督管理。</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 xml:space="preserve">第十六条  </w:t>
      </w:r>
      <w:r>
        <w:rPr>
          <w:rFonts w:cs="仿宋_GB2312" w:hint="eastAsia"/>
          <w:color w:val="000000" w:themeColor="text1"/>
          <w:sz w:val="32"/>
          <w:szCs w:val="32"/>
          <w:shd w:val="clear" w:color="auto" w:fill="FFFFFF"/>
        </w:rPr>
        <w:t>鼓励在符合法律规定的前提下，创新土地供应政策，除法律规定必须采取招标、拍卖、挂牌方式出让的，可以探索采用多元化土地出让方式，激发市场主体参与城市更新活动的积极性。</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第十七条 </w:t>
      </w:r>
      <w:r>
        <w:rPr>
          <w:rFonts w:cs="仿宋_GB2312" w:hint="eastAsia"/>
          <w:color w:val="000000" w:themeColor="text1"/>
          <w:sz w:val="32"/>
          <w:szCs w:val="32"/>
          <w:shd w:val="clear" w:color="auto" w:fill="FFFFFF"/>
        </w:rPr>
        <w:t xml:space="preserve"> 强化科技成果在城市更新行动中的转化应用，以城市更新为载体，优化科创产业布局，着力打造一批科技创新、产业创新科创园区。推进城市更新建设机制和智慧城市运行机制有机结合，完善智慧城市服务体系。</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第十八条 </w:t>
      </w:r>
      <w:r>
        <w:rPr>
          <w:rFonts w:cs="仿宋_GB2312" w:hint="eastAsia"/>
          <w:color w:val="000000" w:themeColor="text1"/>
          <w:sz w:val="32"/>
          <w:szCs w:val="32"/>
          <w:shd w:val="clear" w:color="auto" w:fill="FFFFFF"/>
        </w:rPr>
        <w:t xml:space="preserve"> 发挥地方政府债券资金的撬动和带动作用，加大对城市更新行动的支持力度。鼓励金融机构依法开展多样化金融产品和服务创新，满足城市更新融资需求。支持符合条件的企</w:t>
      </w:r>
      <w:r>
        <w:rPr>
          <w:rFonts w:cs="仿宋_GB2312" w:hint="eastAsia"/>
          <w:color w:val="000000" w:themeColor="text1"/>
          <w:sz w:val="32"/>
          <w:szCs w:val="32"/>
          <w:shd w:val="clear" w:color="auto" w:fill="FFFFFF"/>
        </w:rPr>
        <w:lastRenderedPageBreak/>
        <w:t>业在多层次资本市场开展融资活动，发挥金融对城市更新的促进作用。</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第十九条 </w:t>
      </w:r>
      <w:r>
        <w:rPr>
          <w:rFonts w:cs="仿宋_GB2312" w:hint="eastAsia"/>
          <w:color w:val="000000" w:themeColor="text1"/>
          <w:sz w:val="32"/>
          <w:szCs w:val="32"/>
          <w:shd w:val="clear" w:color="auto" w:fill="FFFFFF"/>
        </w:rPr>
        <w:t xml:space="preserve"> 区相关部门应当制定城市更新项目立项、土地、规划、建设、消防、财税、不动产登记及其他与城市更新相关的配套方案。</w:t>
      </w:r>
    </w:p>
    <w:p w:rsidR="000B30F1" w:rsidRDefault="00000000">
      <w:pPr>
        <w:pStyle w:val="a5"/>
        <w:widowControl/>
        <w:spacing w:beforeAutospacing="0" w:afterAutospacing="0"/>
        <w:ind w:firstLineChars="200" w:firstLine="624"/>
        <w:jc w:val="both"/>
        <w:rPr>
          <w:rFonts w:cs="仿宋_GB2312"/>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第二十条 </w:t>
      </w:r>
      <w:r>
        <w:rPr>
          <w:rFonts w:cs="仿宋_GB2312" w:hint="eastAsia"/>
          <w:color w:val="000000" w:themeColor="text1"/>
          <w:sz w:val="32"/>
          <w:szCs w:val="32"/>
          <w:shd w:val="clear" w:color="auto" w:fill="FFFFFF"/>
        </w:rPr>
        <w:t xml:space="preserve"> 本办法适用于金安区城区范围内的城市更新工作。</w:t>
      </w:r>
    </w:p>
    <w:p w:rsidR="000B30F1" w:rsidRDefault="00000000">
      <w:pPr>
        <w:pStyle w:val="a5"/>
        <w:widowControl/>
        <w:spacing w:beforeAutospacing="0" w:afterAutospacing="0"/>
        <w:ind w:firstLineChars="200" w:firstLine="624"/>
        <w:jc w:val="both"/>
        <w:rPr>
          <w:rFonts w:cs="仿宋_GB2312"/>
          <w:color w:val="000000" w:themeColor="text1"/>
          <w:sz w:val="32"/>
          <w:szCs w:val="32"/>
        </w:rPr>
      </w:pPr>
      <w:r>
        <w:rPr>
          <w:rFonts w:ascii="黑体" w:eastAsia="黑体" w:hAnsi="黑体" w:cs="黑体" w:hint="eastAsia"/>
          <w:color w:val="000000" w:themeColor="text1"/>
          <w:sz w:val="32"/>
          <w:szCs w:val="32"/>
          <w:shd w:val="clear" w:color="auto" w:fill="FFFFFF"/>
        </w:rPr>
        <w:t>第二十一条 </w:t>
      </w:r>
      <w:r>
        <w:rPr>
          <w:rFonts w:cs="仿宋_GB2312" w:hint="eastAsia"/>
          <w:color w:val="000000" w:themeColor="text1"/>
          <w:sz w:val="32"/>
          <w:szCs w:val="32"/>
          <w:shd w:val="clear" w:color="auto" w:fill="FFFFFF"/>
        </w:rPr>
        <w:t xml:space="preserve"> 本办法自印发之日起施行。</w:t>
      </w: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B30F1">
      <w:pPr>
        <w:pStyle w:val="a5"/>
        <w:widowControl/>
        <w:spacing w:beforeAutospacing="0" w:afterAutospacing="0"/>
        <w:ind w:firstLineChars="200" w:firstLine="464"/>
        <w:jc w:val="both"/>
        <w:rPr>
          <w:rFonts w:cs="仿宋_GB2312"/>
          <w:color w:val="000000" w:themeColor="text1"/>
        </w:rPr>
      </w:pPr>
    </w:p>
    <w:p w:rsidR="000B30F1" w:rsidRDefault="00000000">
      <w:pPr>
        <w:pStyle w:val="a5"/>
        <w:widowControl/>
        <w:spacing w:beforeAutospacing="0" w:afterAutospacing="0"/>
        <w:jc w:val="both"/>
        <w:rPr>
          <w:rFonts w:cs="仿宋_GB2312"/>
          <w:color w:val="000000" w:themeColor="text1"/>
          <w:sz w:val="28"/>
          <w:szCs w:val="28"/>
        </w:rPr>
      </w:pPr>
      <w:r>
        <w:rPr>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351790</wp:posOffset>
                </wp:positionV>
                <wp:extent cx="5579745" cy="133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7974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18165" id="直接连接符 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35pt,27.7pt" to="43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bGqAEAAJYDAAAOAAAAZHJzL2Uyb0RvYy54bWysU8tu2zAQvBfIPxC815LjumkFyzkkSC9B&#10;GvR1Z6ilRZTkEiRjyX+fJWUrRdICRdELwcfO7M7scnM5WsP2EKJG1/LlouYMnMROu13Lv3+7efuB&#10;s5iE64RBBy0/QOSX27M3m8E3cI49mg4CIxIXm8G3vE/JN1UVZQ9WxAV6cPSoMFiR6Bh2VRfEQOzW&#10;VOd1/b4aMHQ+oIQY6fZ6euTbwq8UyPRZqQiJmZZTbamsoawPea22G9HsgvC9lscyxD9UYYV2lHSm&#10;uhZJsMegX1FZLQNGVGkh0VaolJZQNJCaZf1CzddeeChayJzoZ5vi/6OVd/srdx/IhsHHJvr7kFWM&#10;KlimjPY/qKdFF1XKxmLbYbYNxsQkXa7XFx8v3q05k/S2XK1W62xrNdFkOh9i+gRoWd603GiXVYlG&#10;7G9jmkJPIYR7LqTs0sFADjbuCyimO0o4lVRmBK5MYHtB3e1+Lo9pS2SGKG3MDKpLyj+CjrEZBmVu&#10;/hY4R5eM6NIMtNph+F3WNJ5KVVP8SfWkNct+wO5Q2lLsoOYXQ4+Dmqfr13OBP3+n7RMAAAD//wMA&#10;UEsDBBQABgAIAAAAIQAB9/db2wAAAAgBAAAPAAAAZHJzL2Rvd25yZXYueG1sTI/BTsMwEETvSPyD&#10;tUjcWpsKJ1UapyqVEGdaLr058ZJEjdchdtvw9ywnOO7MaPZNuZ39IK44xT6QgaelAoHUBNdTa+Dj&#10;+LpYg4jJkrNDIDTwjRG21f1daQsXbvSO10NqBZdQLKyBLqWxkDI2HXobl2FEYu8zTN4mPqdWusne&#10;uNwPcqVUJr3tiT90dsR9h835cPEGjm9ezXXq90hfudqdXnRGJ23M48O824BIOKe/MPziMzpUzFSH&#10;C7koBgOLVc5JA1o/g2B/nWe8rWYh1yCrUv4fUP0AAAD//wMAUEsBAi0AFAAGAAgAAAAhALaDOJL+&#10;AAAA4QEAABMAAAAAAAAAAAAAAAAAAAAAAFtDb250ZW50X1R5cGVzXS54bWxQSwECLQAUAAYACAAA&#10;ACEAOP0h/9YAAACUAQAACwAAAAAAAAAAAAAAAAAvAQAAX3JlbHMvLnJlbHNQSwECLQAUAAYACAAA&#10;ACEAklF2xqgBAACWAwAADgAAAAAAAAAAAAAAAAAuAgAAZHJzL2Uyb0RvYy54bWxQSwECLQAUAAYA&#10;CAAAACEAAff3W9sAAAAIAQAADwAAAAAAAAAAAAAAAAACBAAAZHJzL2Rvd25yZXYueG1sUEsFBgAA&#10;AAAEAAQA8wAAAAoFAAAAAA==&#10;" strokecolor="black [3200]" strokeweight=".5pt">
                <v:stroke joinstyle="miter"/>
              </v:line>
            </w:pict>
          </mc:Fallback>
        </mc:AlternateContent>
      </w:r>
      <w:r>
        <w:rPr>
          <w:noProof/>
          <w:color w:val="000000" w:themeColor="text1"/>
          <w:sz w:val="28"/>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10795</wp:posOffset>
                </wp:positionV>
                <wp:extent cx="5579745" cy="133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7974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5C5E0" id="直接连接符 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35pt,.85pt" to="4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bGqAEAAJYDAAAOAAAAZHJzL2Uyb0RvYy54bWysU8tu2zAQvBfIPxC815LjumkFyzkkSC9B&#10;GvR1Z6ilRZTkEiRjyX+fJWUrRdICRdELwcfO7M7scnM5WsP2EKJG1/LlouYMnMROu13Lv3+7efuB&#10;s5iE64RBBy0/QOSX27M3m8E3cI49mg4CIxIXm8G3vE/JN1UVZQ9WxAV6cPSoMFiR6Bh2VRfEQOzW&#10;VOd1/b4aMHQ+oIQY6fZ6euTbwq8UyPRZqQiJmZZTbamsoawPea22G9HsgvC9lscyxD9UYYV2lHSm&#10;uhZJsMegX1FZLQNGVGkh0VaolJZQNJCaZf1CzddeeChayJzoZ5vi/6OVd/srdx/IhsHHJvr7kFWM&#10;KlimjPY/qKdFF1XKxmLbYbYNxsQkXa7XFx8v3q05k/S2XK1W62xrNdFkOh9i+gRoWd603GiXVYlG&#10;7G9jmkJPIYR7LqTs0sFADjbuCyimO0o4lVRmBK5MYHtB3e1+Lo9pS2SGKG3MDKpLyj+CjrEZBmVu&#10;/hY4R5eM6NIMtNph+F3WNJ5KVVP8SfWkNct+wO5Q2lLsoOYXQ4+Dmqfr13OBP3+n7RMAAAD//wMA&#10;UEsDBBQABgAIAAAAIQCxBPIn2gAAAAYBAAAPAAAAZHJzL2Rvd25yZXYueG1sTI9Bb8IwDIXvSPsP&#10;kSdxg2Qg2qo0RQxp2nmwC7e08dqKxumaAN2/n3caJ8t+T8/fK3aT68UNx9B50vCyVCCQam87ajR8&#10;nt4WGYgQDVnTe0INPxhgVz7NCpNbf6cPvB1jIziEQm40tDEOuZShbtGZsPQDEmtffnQm8jo20o7m&#10;zuGulyulEulMR/yhNQMeWqwvx6vTcHp3aqpid0D6TtX+/LpJ6LzRev487bcgIk7x3wx/+IwOJTNV&#10;/ko2iF7DYpWyk+88WM7ShKtVGtYZyLKQj/jlLwAAAP//AwBQSwECLQAUAAYACAAAACEAtoM4kv4A&#10;AADhAQAAEwAAAAAAAAAAAAAAAAAAAAAAW0NvbnRlbnRfVHlwZXNdLnhtbFBLAQItABQABgAIAAAA&#10;IQA4/SH/1gAAAJQBAAALAAAAAAAAAAAAAAAAAC8BAABfcmVscy8ucmVsc1BLAQItABQABgAIAAAA&#10;IQCSUXbGqAEAAJYDAAAOAAAAAAAAAAAAAAAAAC4CAABkcnMvZTJvRG9jLnhtbFBLAQItABQABgAI&#10;AAAAIQCxBPIn2gAAAAYBAAAPAAAAAAAAAAAAAAAAAAIEAABkcnMvZG93bnJldi54bWxQSwUGAAAA&#10;AAQABADzAAAACQUAAAAA&#10;" strokecolor="black [3200]" strokeweight=".5pt">
                <v:stroke joinstyle="miter"/>
              </v:line>
            </w:pict>
          </mc:Fallback>
        </mc:AlternateContent>
      </w:r>
      <w:r>
        <w:rPr>
          <w:rFonts w:cs="仿宋_GB2312" w:hint="eastAsia"/>
          <w:color w:val="000000" w:themeColor="text1"/>
          <w:sz w:val="28"/>
          <w:szCs w:val="28"/>
        </w:rPr>
        <w:t>抄送：市政府办公室。</w:t>
      </w:r>
    </w:p>
    <w:p w:rsidR="000B30F1" w:rsidRDefault="00000000">
      <w:pPr>
        <w:pStyle w:val="a5"/>
        <w:widowControl/>
        <w:spacing w:beforeAutospacing="0" w:afterAutospacing="0"/>
        <w:jc w:val="both"/>
        <w:rPr>
          <w:rFonts w:cs="仿宋_GB2312"/>
          <w:color w:val="000000" w:themeColor="text1"/>
          <w:sz w:val="28"/>
          <w:szCs w:val="28"/>
        </w:rPr>
      </w:pPr>
      <w:r>
        <w:rPr>
          <w:noProof/>
          <w:color w:val="000000" w:themeColor="text1"/>
          <w:sz w:val="28"/>
        </w:rPr>
        <w:lastRenderedPageBreak/>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327025</wp:posOffset>
                </wp:positionV>
                <wp:extent cx="5579745" cy="13335"/>
                <wp:effectExtent l="0" t="0" r="0" b="0"/>
                <wp:wrapNone/>
                <wp:docPr id="4" name="直接连接符 4"/>
                <wp:cNvGraphicFramePr/>
                <a:graphic xmlns:a="http://schemas.openxmlformats.org/drawingml/2006/main">
                  <a:graphicData uri="http://schemas.microsoft.com/office/word/2010/wordprocessingShape">
                    <wps:wsp>
                      <wps:cNvCnPr/>
                      <wps:spPr>
                        <a:xfrm flipV="1">
                          <a:off x="951865" y="9620250"/>
                          <a:ext cx="557974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CF4A9" id="直接连接符 4"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4pt,25.75pt" to="437.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uNsgEAAKEDAAAOAAAAZHJzL2Uyb0RvYy54bWysU01v1DAUvCPxHyzf2SS7ZNtGm+2hFVwQ&#10;VBS4u87zxqq/ZJtN9t/z7GTTqoCEUC+WHc/Mm3l+2V2PWpEj+CCtaWm1KikBw20nzaGl3799eHdJ&#10;SYjMdExZAy09QaDX+7dvdoNrYG17qzrwBEVMaAbX0j5G1xRF4D1oFlbWgcFLYb1mEY/+UHSeDaiu&#10;VbEuy20xWN85bzmEgF9vp0u6z/pCAI9fhAgQiWopeot59Xl9SGux37Hm4JnrJZ9tsP9woZk0WHSR&#10;umWRkZ9e/ialJfc2WBFX3OrCCiE55AyYpipfpLnvmYOcBZsT3NKm8Hqy/PPxxtx5bMPgQhPcnU8p&#10;RuE1EUq6H/imORc6JWNLr+rqcltTcsLtdl2u67mDMEbC8b6uL64u3iOAI6LabDZ16nAxKSZl50P8&#10;CFaTtGmpkiYFZA07fgpxgp4hyHvylHfxpCCBlfkKgsgOC07u8rjAjfLkyPChu8dqLpuRiSKkUgup&#10;zCX/SpqxiQZ5hP6VuKBzRWviQtTSWP+nqnE8WxUT/px6yppiP9julF8otwPnIDd0ntk0aM/Pmf70&#10;Z+1/AQAA//8DAFBLAwQUAAYACAAAACEASL5Xv9wAAAAIAQAADwAAAGRycy9kb3ducmV2LnhtbEyP&#10;wU7DMBBE70j8g7VI3Fq7RU5LGqcqlRBnWi69OfE2iYjXIXbb8PcsJzjuzGjmbbGdfC+uOMYukIHF&#10;XIFAqoPrqDHwcXydrUHEZMnZPhAa+MYI2/L+rrC5Czd6x+shNYJLKObWQJvSkEsZ6xa9jfMwILF3&#10;DqO3ic+xkW60Ny73vVwqlUlvO+KF1g64b7H+PFy8geObV1OVuj3S10rtTi86o5M25vFh2m1AJJzS&#10;Xxh+8RkdSmaqwoVcFL2B2ZLJkwG90CDYX6/0M4iKhacMZFnI/w+UPwAAAP//AwBQSwECLQAUAAYA&#10;CAAAACEAtoM4kv4AAADhAQAAEwAAAAAAAAAAAAAAAAAAAAAAW0NvbnRlbnRfVHlwZXNdLnhtbFBL&#10;AQItABQABgAIAAAAIQA4/SH/1gAAAJQBAAALAAAAAAAAAAAAAAAAAC8BAABfcmVscy8ucmVsc1BL&#10;AQItABQABgAIAAAAIQA03quNsgEAAKEDAAAOAAAAAAAAAAAAAAAAAC4CAABkcnMvZTJvRG9jLnht&#10;bFBLAQItABQABgAIAAAAIQBIvle/3AAAAAgBAAAPAAAAAAAAAAAAAAAAAAwEAABkcnMvZG93bnJl&#10;di54bWxQSwUGAAAAAAQABADzAAAAFQUAAAAA&#10;" strokecolor="black [3200]" strokeweight=".5pt">
                <v:stroke joinstyle="miter"/>
              </v:line>
            </w:pict>
          </mc:Fallback>
        </mc:AlternateContent>
      </w:r>
      <w:r>
        <w:rPr>
          <w:rFonts w:cs="仿宋_GB2312" w:hint="eastAsia"/>
          <w:color w:val="000000" w:themeColor="text1"/>
          <w:sz w:val="28"/>
          <w:szCs w:val="28"/>
        </w:rPr>
        <w:t>六安市金安区人民政府办公室                    2022年7月5日印发</w:t>
      </w:r>
    </w:p>
    <w:sectPr w:rsidR="000B30F1">
      <w:footerReference w:type="default" r:id="rId7"/>
      <w:pgSz w:w="11906" w:h="16838"/>
      <w:pgMar w:top="2098" w:right="1587" w:bottom="1587" w:left="1587" w:header="1134" w:footer="1361" w:gutter="0"/>
      <w:cols w:space="0"/>
      <w:docGrid w:type="linesAndChars" w:linePitch="597"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09C" w:rsidRDefault="003C509C">
      <w:r>
        <w:separator/>
      </w:r>
    </w:p>
  </w:endnote>
  <w:endnote w:type="continuationSeparator" w:id="0">
    <w:p w:rsidR="003C509C" w:rsidRDefault="003C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0F1"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30F1" w:rsidRDefault="00000000">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B30F1" w:rsidRDefault="00000000">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09C" w:rsidRDefault="003C509C">
      <w:r>
        <w:separator/>
      </w:r>
    </w:p>
  </w:footnote>
  <w:footnote w:type="continuationSeparator" w:id="0">
    <w:p w:rsidR="003C509C" w:rsidRDefault="003C5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420"/>
  <w:drawingGridHorizontalSpacing w:val="156"/>
  <w:drawingGridVerticalSpacing w:val="299"/>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JmNTRmZWFlOTQyOWI0Njg0ODg3ZTJiMjgwZjMyOWYifQ=="/>
  </w:docVars>
  <w:rsids>
    <w:rsidRoot w:val="427312BD"/>
    <w:rsid w:val="000B30F1"/>
    <w:rsid w:val="003C509C"/>
    <w:rsid w:val="00B21C9A"/>
    <w:rsid w:val="00D72607"/>
    <w:rsid w:val="01D542D8"/>
    <w:rsid w:val="02353A89"/>
    <w:rsid w:val="02F23728"/>
    <w:rsid w:val="04001E75"/>
    <w:rsid w:val="045B70AB"/>
    <w:rsid w:val="05F96B7B"/>
    <w:rsid w:val="07E55609"/>
    <w:rsid w:val="090D306A"/>
    <w:rsid w:val="09E55D95"/>
    <w:rsid w:val="0BDE0CED"/>
    <w:rsid w:val="0C8C24F7"/>
    <w:rsid w:val="0CD36378"/>
    <w:rsid w:val="10E30B54"/>
    <w:rsid w:val="12687563"/>
    <w:rsid w:val="13433B2C"/>
    <w:rsid w:val="13E64BE3"/>
    <w:rsid w:val="15453B8B"/>
    <w:rsid w:val="157B57FF"/>
    <w:rsid w:val="16642511"/>
    <w:rsid w:val="16DB47A7"/>
    <w:rsid w:val="17084E70"/>
    <w:rsid w:val="17CE7E68"/>
    <w:rsid w:val="18381785"/>
    <w:rsid w:val="19A812D8"/>
    <w:rsid w:val="1A5F749D"/>
    <w:rsid w:val="1A846F04"/>
    <w:rsid w:val="1A9D7FC6"/>
    <w:rsid w:val="1F0C571A"/>
    <w:rsid w:val="237C2E6E"/>
    <w:rsid w:val="24BE74B6"/>
    <w:rsid w:val="25394CA0"/>
    <w:rsid w:val="27DF39CB"/>
    <w:rsid w:val="2C872F30"/>
    <w:rsid w:val="2D5F56D2"/>
    <w:rsid w:val="2F106B60"/>
    <w:rsid w:val="3048439E"/>
    <w:rsid w:val="306E3B3E"/>
    <w:rsid w:val="320B2452"/>
    <w:rsid w:val="34360E17"/>
    <w:rsid w:val="356E45E1"/>
    <w:rsid w:val="359F479A"/>
    <w:rsid w:val="362B4280"/>
    <w:rsid w:val="36835E6A"/>
    <w:rsid w:val="370C2303"/>
    <w:rsid w:val="37C91FA2"/>
    <w:rsid w:val="3A6051D2"/>
    <w:rsid w:val="3B095088"/>
    <w:rsid w:val="3B6539A7"/>
    <w:rsid w:val="3B835794"/>
    <w:rsid w:val="3E6D18D9"/>
    <w:rsid w:val="3F5860E5"/>
    <w:rsid w:val="3F634A8A"/>
    <w:rsid w:val="40324B88"/>
    <w:rsid w:val="41831414"/>
    <w:rsid w:val="421107CE"/>
    <w:rsid w:val="4250579A"/>
    <w:rsid w:val="427312BD"/>
    <w:rsid w:val="42EA174A"/>
    <w:rsid w:val="43B753A5"/>
    <w:rsid w:val="453E5D7D"/>
    <w:rsid w:val="465D2233"/>
    <w:rsid w:val="47146532"/>
    <w:rsid w:val="472D60AA"/>
    <w:rsid w:val="47BC11DC"/>
    <w:rsid w:val="47F46C3C"/>
    <w:rsid w:val="49EC3FFA"/>
    <w:rsid w:val="4A6242BC"/>
    <w:rsid w:val="4AAC3789"/>
    <w:rsid w:val="4AC5484B"/>
    <w:rsid w:val="4B3D0885"/>
    <w:rsid w:val="4B84408B"/>
    <w:rsid w:val="4BC845F3"/>
    <w:rsid w:val="4D2215AC"/>
    <w:rsid w:val="4D447E76"/>
    <w:rsid w:val="4D5819A6"/>
    <w:rsid w:val="4DAD197C"/>
    <w:rsid w:val="4EC15329"/>
    <w:rsid w:val="50357D7D"/>
    <w:rsid w:val="50FE2865"/>
    <w:rsid w:val="528A2602"/>
    <w:rsid w:val="52A336C4"/>
    <w:rsid w:val="54B971CF"/>
    <w:rsid w:val="55CE5B74"/>
    <w:rsid w:val="59E640E8"/>
    <w:rsid w:val="5A3572F7"/>
    <w:rsid w:val="5B1A473F"/>
    <w:rsid w:val="5DF41277"/>
    <w:rsid w:val="5DFF5ED6"/>
    <w:rsid w:val="5F4604DD"/>
    <w:rsid w:val="5F9215FB"/>
    <w:rsid w:val="60FF240D"/>
    <w:rsid w:val="61444430"/>
    <w:rsid w:val="61B56F70"/>
    <w:rsid w:val="64AA08E2"/>
    <w:rsid w:val="66B6356E"/>
    <w:rsid w:val="6764121C"/>
    <w:rsid w:val="67F325A0"/>
    <w:rsid w:val="693370F8"/>
    <w:rsid w:val="698A0CE2"/>
    <w:rsid w:val="6AD71D05"/>
    <w:rsid w:val="6C94214B"/>
    <w:rsid w:val="6CA45802"/>
    <w:rsid w:val="6CB9679D"/>
    <w:rsid w:val="6D9D1302"/>
    <w:rsid w:val="6DAF6F69"/>
    <w:rsid w:val="6E22773B"/>
    <w:rsid w:val="6EA91C0A"/>
    <w:rsid w:val="70EB2467"/>
    <w:rsid w:val="72B312A9"/>
    <w:rsid w:val="72E17BC5"/>
    <w:rsid w:val="73075DB0"/>
    <w:rsid w:val="73BC3CC1"/>
    <w:rsid w:val="7439758C"/>
    <w:rsid w:val="74B12817"/>
    <w:rsid w:val="753164B5"/>
    <w:rsid w:val="76D812DE"/>
    <w:rsid w:val="79134850"/>
    <w:rsid w:val="799B6859"/>
    <w:rsid w:val="79B002F1"/>
    <w:rsid w:val="7C174657"/>
    <w:rsid w:val="7E2B43EA"/>
    <w:rsid w:val="7E503E50"/>
    <w:rsid w:val="7F4C4618"/>
    <w:rsid w:val="7FDF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C27634"/>
  <w15:docId w15:val="{EE16E662-3D3A-4238-A249-352E79BA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after="120" w:line="480" w:lineRule="auto"/>
      <w:ind w:leftChars="200" w:left="420"/>
    </w:pPr>
    <w:rPr>
      <w:rFonts w:ascii="Times New Roman" w:eastAsia="宋体" w:hAnsi="Times New Roman" w:cs="Times New Roman"/>
      <w:sz w:val="21"/>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yunwei</cp:lastModifiedBy>
  <cp:revision>2</cp:revision>
  <cp:lastPrinted>2022-07-05T01:10:00Z</cp:lastPrinted>
  <dcterms:created xsi:type="dcterms:W3CDTF">2022-07-04T02:04:00Z</dcterms:created>
  <dcterms:modified xsi:type="dcterms:W3CDTF">2023-06-02T01:56:00Z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EAC5DD107F704AC3B549E911233B47C6</vt:lpwstr>
  </property>
</Properties>
</file>