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东望佳园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—201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—201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东望佳园小区、城投佳苑小区、金域华里、友谊东苑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584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val="en-US" w:eastAsia="zh-CN"/>
        </w:rPr>
        <w:t>1.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报名地点：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六安市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val="en-US" w:eastAsia="zh-CN"/>
        </w:rPr>
        <w:t>东望佳园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幼儿园内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584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2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eastAsia="zh-CN"/>
        </w:rPr>
        <w:t>.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报名时间：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</w:rPr>
        <w:t>8月1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</w:rPr>
        <w:t>日—8月1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</w:rPr>
        <w:t>日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</w:rPr>
      </w:pPr>
      <w:r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   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（上午 8：00-11：00；下午 2：00-5：00）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val="en-US"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584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3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eastAsia="zh-CN"/>
        </w:rPr>
        <w:t>.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报名方式：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现场审验材料报名登记，所有材料查验原件，提交复印件。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  <w:bookmarkStart w:id="0" w:name="_GoBack"/>
      <w:bookmarkEnd w:id="0"/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服务区内幼儿报名人数超过招生计划数，所有学位均实施电脑（摇号）派位。</w:t>
      </w:r>
    </w:p>
    <w:p>
      <w:pPr>
        <w:snapToGrid w:val="0"/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电脑（摇号）派位由公证部门操作，邀请主管部门领导、行政辖区领导、家长代表到现场进行监督，具体时间、地点、结果另行通知。邀请电脑派位结果进行公布。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1.2023年8月20日（星期日）至8月 22日（星期二），幼儿园张贴公示录取名单。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2.公示无异议后被录取的幼儿将于2023年8月28日（星期一），由监护人携带幼儿、预约登记时审核的材料（原件），到幼儿园现场审核确认，符合条件的予以注册，并按要求办理缴费及入园相关手续。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3.本公告未尽事宜，本幼儿园持有最终解释权。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960" w:firstLineChars="3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保教费：1150元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联系人：陈丽 ，联系电话：13856466818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0564-3399027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东望佳园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2ZkYzQxZWM5OGY5M2E0MWU2MjkwYjI3Zjk0MTk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17F19ED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0091C2B"/>
    <w:rsid w:val="541D1254"/>
    <w:rsid w:val="58225A08"/>
    <w:rsid w:val="58C34B42"/>
    <w:rsid w:val="594F1EAF"/>
    <w:rsid w:val="5EC936C6"/>
    <w:rsid w:val="5F5226F9"/>
    <w:rsid w:val="5FB44BCA"/>
    <w:rsid w:val="624337C3"/>
    <w:rsid w:val="63E96F26"/>
    <w:rsid w:val="65767E03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1012</Words>
  <Characters>1074</Characters>
  <Lines>1</Lines>
  <Paragraphs>1</Paragraphs>
  <TotalTime>35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江南三月雨蒙蒙</cp:lastModifiedBy>
  <cp:lastPrinted>2020-07-27T09:08:00Z</cp:lastPrinted>
  <dcterms:modified xsi:type="dcterms:W3CDTF">2023-07-26T08:11:08Z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9600815283B441B7A13BD8ECAE140E59_13</vt:lpwstr>
  </property>
</Properties>
</file>