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龙湖湾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2周--3周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50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满3周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textAlignment w:val="baseline"/>
        <w:rPr>
          <w:rFonts w:hint="default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val="en-US" w:eastAsia="zh-CN"/>
        </w:rPr>
        <w:t>幼儿园2公里以内的适龄健康幼儿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六安市金安区龙湖湾幼儿园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预约登记|：2023年8月10--8月30号，园内直接现场登记及电话预约登记，微信易体秀网络上报名登记。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1.报名地点：龙湖湾幼儿园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2.报名时间及方式：2023年8月28园内报名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2.入园健康体检表，入园证明。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4.预防接种及疫苗补种接种通知单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 xml:space="preserve">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 w:cs="仿宋"/>
          <w:sz w:val="32"/>
          <w:szCs w:val="32"/>
        </w:rPr>
        <w:t>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 xml:space="preserve"> ）至8月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27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日</w:t>
      </w:r>
      <w:r>
        <w:rPr>
          <w:rFonts w:hint="eastAsia" w:ascii="仿宋" w:hAnsi="仿宋" w:eastAsia="仿宋" w:cs="仿宋"/>
          <w:sz w:val="32"/>
          <w:szCs w:val="32"/>
        </w:rPr>
        <w:t xml:space="preserve">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 xml:space="preserve">公示无异议后被录取的幼儿将于2022年8月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 xml:space="preserve">日（星期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1.保教费：2800元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（1）体智能200园每人|每学期</w:t>
      </w:r>
    </w:p>
    <w:p>
      <w:pPr>
        <w:snapToGrid w:val="0"/>
        <w:spacing w:line="500" w:lineRule="exact"/>
        <w:ind w:left="1598" w:leftChars="304" w:hanging="960" w:hangingChars="3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（2）每人每学期早餐300元，中餐1000元，下午点400元，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（3）校园平安险50元一年</w:t>
      </w:r>
    </w:p>
    <w:p>
      <w:pPr>
        <w:snapToGrid w:val="0"/>
        <w:spacing w:line="500" w:lineRule="exact"/>
        <w:ind w:left="958" w:leftChars="304" w:hanging="320" w:hanging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（4）棉被四件套220元（含夹棉）、书包50元、两套园服（春秋季、夏季）230元</w:t>
      </w:r>
    </w:p>
    <w:p>
      <w:pPr>
        <w:snapToGrid w:val="0"/>
        <w:spacing w:line="500" w:lineRule="exact"/>
        <w:ind w:left="958" w:leftChars="304" w:hanging="320" w:hanging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（5）节气食育食材费每学期每人500元（含护袖、布兜、美食操作工具）</w:t>
      </w:r>
    </w:p>
    <w:p>
      <w:pPr>
        <w:snapToGrid w:val="0"/>
        <w:spacing w:line="500" w:lineRule="exact"/>
        <w:ind w:left="958" w:leftChars="304" w:hanging="320" w:hangingChars="1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（6）户外营地费每人每学期500元（含当天伙食、车费、操作材料费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snapToGrid w:val="0"/>
        <w:spacing w:line="500" w:lineRule="exact"/>
        <w:ind w:left="958" w:leftChars="304" w:hanging="320" w:hangingChars="1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（7）其他费用：根据活动按自愿参加，据实收费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联系人：陈久琴   ，联系电话：15955943613</w:t>
      </w:r>
    </w:p>
    <w:p>
      <w:pPr>
        <w:spacing w:line="500" w:lineRule="exact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960" w:firstLineChars="3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龙湖湾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mNTNlOWYxODBjZDUwMWY5YjM0NzMxMmY3YjRmYjU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82319DF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96543A4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0D02B93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5CD0D2C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1074</Words>
  <Characters>1162</Characters>
  <Lines>6</Lines>
  <Paragraphs>1</Paragraphs>
  <TotalTime>83</TotalTime>
  <ScaleCrop>false</ScaleCrop>
  <LinksUpToDate>false</LinksUpToDate>
  <CharactersWithSpaces>1192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斯人若彩虹</cp:lastModifiedBy>
  <cp:lastPrinted>2023-07-27T02:18:22Z</cp:lastPrinted>
  <dcterms:modified xsi:type="dcterms:W3CDTF">2023-07-27T02:19:21Z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8511F2654F164D8E8FE2AFB0989C6672_13</vt:lpwstr>
  </property>
</Properties>
</file>