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bookmarkStart w:id="0" w:name="_Toc26123"/>
      <w:r>
        <w:rPr>
          <w:rFonts w:hint="eastAsia" w:ascii="方正小标宋_GBK" w:eastAsia="方正小标宋_GBK"/>
          <w:bCs/>
          <w:sz w:val="72"/>
          <w:szCs w:val="72"/>
        </w:rPr>
        <w:t>建设项目环境影响报告表</w:t>
      </w:r>
      <w:bookmarkEnd w:id="0"/>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bidi w:val="0"/>
      </w:pPr>
    </w:p>
    <w:p>
      <w:pPr>
        <w:bidi w:val="0"/>
      </w:pPr>
    </w:p>
    <w:p>
      <w:pPr>
        <w:bidi w:val="0"/>
      </w:pPr>
    </w:p>
    <w:p>
      <w:pPr>
        <w:pStyle w:val="44"/>
      </w:pPr>
    </w:p>
    <w:p>
      <w:pPr>
        <w:pStyle w:val="44"/>
      </w:pPr>
    </w:p>
    <w:p>
      <w:pPr>
        <w:pStyle w:val="44"/>
      </w:pPr>
    </w:p>
    <w:p>
      <w:pPr>
        <w:pStyle w:val="44"/>
      </w:pPr>
    </w:p>
    <w:p>
      <w:pPr>
        <w:pStyle w:val="44"/>
      </w:pPr>
    </w:p>
    <w:p>
      <w:pPr>
        <w:pStyle w:val="44"/>
      </w:pPr>
    </w:p>
    <w:p>
      <w:pPr>
        <w:pStyle w:val="44"/>
      </w:pPr>
    </w:p>
    <w:p>
      <w:pPr>
        <w:pStyle w:val="44"/>
      </w:pPr>
    </w:p>
    <w:p>
      <w:pPr>
        <w:pStyle w:val="44"/>
      </w:pPr>
    </w:p>
    <w:p>
      <w:pPr>
        <w:pStyle w:val="44"/>
      </w:pPr>
    </w:p>
    <w:tbl>
      <w:tblPr>
        <w:tblStyle w:val="29"/>
        <w:tblW w:w="79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36"/>
        <w:gridCol w:w="64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672" w:type="dxa"/>
            <w:noWrap w:val="0"/>
            <w:vAlign w:val="top"/>
          </w:tcPr>
          <w:p>
            <w:pPr>
              <w:pStyle w:val="44"/>
              <w:keepNext w:val="0"/>
              <w:keepLines w:val="0"/>
              <w:pageBreakBefore w:val="0"/>
              <w:widowControl w:val="0"/>
              <w:kinsoku/>
              <w:wordWrap/>
              <w:overflowPunct/>
              <w:topLinePunct w:val="0"/>
              <w:autoSpaceDE w:val="0"/>
              <w:autoSpaceDN w:val="0"/>
              <w:bidi w:val="0"/>
              <w:adjustRightInd w:val="0"/>
              <w:snapToGrid/>
              <w:spacing w:line="360" w:lineRule="auto"/>
              <w:ind w:left="-105" w:leftChars="-50" w:right="-105" w:rightChars="-50"/>
              <w:textAlignment w:val="auto"/>
              <w:rPr>
                <w:rFonts w:hint="eastAsia" w:eastAsia="宋体"/>
                <w:b/>
                <w:bCs/>
                <w:sz w:val="32"/>
                <w:szCs w:val="32"/>
                <w:vertAlign w:val="baseline"/>
                <w:lang w:eastAsia="zh-CN"/>
              </w:rPr>
            </w:pPr>
            <w:r>
              <w:rPr>
                <w:b/>
                <w:bCs/>
                <w:sz w:val="32"/>
                <w:szCs w:val="32"/>
              </w:rPr>
              <mc:AlternateContent>
                <mc:Choice Requires="wps">
                  <w:drawing>
                    <wp:anchor distT="0" distB="0" distL="114300" distR="114300" simplePos="0" relativeHeight="251659264" behindDoc="0" locked="0" layoutInCell="1" allowOverlap="1">
                      <wp:simplePos x="0" y="0"/>
                      <wp:positionH relativeFrom="column">
                        <wp:posOffset>849630</wp:posOffset>
                      </wp:positionH>
                      <wp:positionV relativeFrom="paragraph">
                        <wp:posOffset>281305</wp:posOffset>
                      </wp:positionV>
                      <wp:extent cx="4131945"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4131945"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6.9pt;margin-top:22.15pt;height:0.05pt;width:325.35pt;z-index:251659264;mso-width-relative:page;mso-height-relative:page;" filled="f" stroked="t" coordsize="21600,21600" o:gfxdata="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uA9QPWAAAACQEAAA8AAAAAAAAAAQAgAAAAIgAAAGRycy9kb3ducmV2LnhtbFBL&#10;AQIUABQAAAAIAIdO4kCp9ejO+AEAAOcDAAAOAAAAAAAAAAEAIAAAACUBAABkcnMvZTJvRG9jLnht&#10;bFBLBQYAAAAABgAGAFkBAACPBQAAAAA=&#10;">
                      <v:fill on="f" focussize="0,0"/>
                      <v:stroke weight="1.5pt" color="#000000" joinstyle="round"/>
                      <v:imagedata o:title=""/>
                      <o:lock v:ext="edit" aspectratio="f"/>
                    </v:line>
                  </w:pict>
                </mc:Fallback>
              </mc:AlternateContent>
            </w:r>
            <w:r>
              <w:rPr>
                <w:rFonts w:hint="eastAsia"/>
                <w:b/>
                <w:bCs/>
                <w:sz w:val="32"/>
                <w:szCs w:val="32"/>
                <w:vertAlign w:val="baseline"/>
                <w:lang w:eastAsia="zh-CN"/>
              </w:rPr>
              <w:t>项目名称：</w:t>
            </w:r>
          </w:p>
        </w:tc>
        <w:tc>
          <w:tcPr>
            <w:tcW w:w="7283" w:type="dxa"/>
            <w:noWrap w:val="0"/>
            <w:vAlign w:val="top"/>
          </w:tcPr>
          <w:p>
            <w:pPr>
              <w:pStyle w:val="44"/>
              <w:keepNext w:val="0"/>
              <w:keepLines w:val="0"/>
              <w:pageBreakBefore w:val="0"/>
              <w:widowControl w:val="0"/>
              <w:kinsoku/>
              <w:wordWrap/>
              <w:overflowPunct/>
              <w:topLinePunct w:val="0"/>
              <w:autoSpaceDE w:val="0"/>
              <w:autoSpaceDN w:val="0"/>
              <w:bidi w:val="0"/>
              <w:adjustRightInd w:val="0"/>
              <w:snapToGrid/>
              <w:spacing w:line="360" w:lineRule="auto"/>
              <w:ind w:left="-105" w:leftChars="-50" w:right="-105" w:rightChars="-50"/>
              <w:jc w:val="center"/>
              <w:textAlignment w:val="auto"/>
              <w:rPr>
                <w:b/>
                <w:bCs/>
                <w:sz w:val="32"/>
                <w:szCs w:val="32"/>
                <w:u w:val="none"/>
                <w:vertAlign w:val="baseline"/>
              </w:rPr>
            </w:pPr>
            <w:r>
              <w:rPr>
                <w:rFonts w:hint="eastAsia"/>
                <w:b/>
                <w:bCs/>
                <w:color w:val="auto"/>
                <w:sz w:val="32"/>
                <w:szCs w:val="32"/>
                <w:u w:val="none"/>
                <w:vertAlign w:val="baseline"/>
                <w:lang w:eastAsia="zh-CN"/>
              </w:rPr>
              <w:t>电机、汽车配件生产项目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72" w:type="dxa"/>
            <w:noWrap w:val="0"/>
            <w:vAlign w:val="top"/>
          </w:tcPr>
          <w:p>
            <w:pPr>
              <w:pStyle w:val="44"/>
              <w:keepNext w:val="0"/>
              <w:keepLines w:val="0"/>
              <w:pageBreakBefore w:val="0"/>
              <w:widowControl w:val="0"/>
              <w:kinsoku/>
              <w:wordWrap/>
              <w:overflowPunct/>
              <w:topLinePunct w:val="0"/>
              <w:autoSpaceDE w:val="0"/>
              <w:autoSpaceDN w:val="0"/>
              <w:bidi w:val="0"/>
              <w:adjustRightInd w:val="0"/>
              <w:snapToGrid/>
              <w:spacing w:line="360" w:lineRule="auto"/>
              <w:ind w:left="-105" w:leftChars="-50" w:right="-105" w:rightChars="-50"/>
              <w:textAlignment w:val="auto"/>
              <w:rPr>
                <w:rFonts w:hint="eastAsia" w:eastAsia="宋体"/>
                <w:b/>
                <w:bCs/>
                <w:sz w:val="32"/>
                <w:szCs w:val="32"/>
                <w:vertAlign w:val="baseline"/>
                <w:lang w:eastAsia="zh-CN"/>
              </w:rPr>
            </w:pPr>
            <w:r>
              <w:rPr>
                <w:b/>
                <w:bCs/>
                <w:sz w:val="32"/>
                <w:szCs w:val="32"/>
              </w:rPr>
              <mc:AlternateContent>
                <mc:Choice Requires="wps">
                  <w:drawing>
                    <wp:anchor distT="0" distB="0" distL="114300" distR="114300" simplePos="0" relativeHeight="251660288" behindDoc="0" locked="0" layoutInCell="1" allowOverlap="1">
                      <wp:simplePos x="0" y="0"/>
                      <wp:positionH relativeFrom="column">
                        <wp:posOffset>849630</wp:posOffset>
                      </wp:positionH>
                      <wp:positionV relativeFrom="paragraph">
                        <wp:posOffset>281940</wp:posOffset>
                      </wp:positionV>
                      <wp:extent cx="4131945"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4131945"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6.9pt;margin-top:22.2pt;height:0.05pt;width:325.35pt;z-index:251660288;mso-width-relative:page;mso-height-relative:page;" filled="f" stroked="t" coordsize="21600,21600" o:gfxdata="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ojp4jWAAAACQEAAA8AAAAAAAAAAQAgAAAAIgAAAGRycy9kb3ducmV2LnhtbFBL&#10;AQIUABQAAAAIAIdO4kCuK9of+AEAAOcDAAAOAAAAAAAAAAEAIAAAACUBAABkcnMvZTJvRG9jLnht&#10;bFBLBQYAAAAABgAGAFkBAACPBQAAAAA=&#10;">
                      <v:fill on="f" focussize="0,0"/>
                      <v:stroke weight="1.5pt" color="#000000" joinstyle="round"/>
                      <v:imagedata o:title=""/>
                      <o:lock v:ext="edit" aspectratio="f"/>
                    </v:line>
                  </w:pict>
                </mc:Fallback>
              </mc:AlternateContent>
            </w:r>
            <w:r>
              <w:rPr>
                <w:rFonts w:hint="eastAsia"/>
                <w:b/>
                <w:bCs/>
                <w:sz w:val="32"/>
                <w:szCs w:val="32"/>
                <w:vertAlign w:val="baseline"/>
                <w:lang w:eastAsia="zh-CN"/>
              </w:rPr>
              <w:t>建设单位：</w:t>
            </w:r>
          </w:p>
        </w:tc>
        <w:tc>
          <w:tcPr>
            <w:tcW w:w="7283" w:type="dxa"/>
            <w:noWrap w:val="0"/>
            <w:vAlign w:val="top"/>
          </w:tcPr>
          <w:p>
            <w:pPr>
              <w:pStyle w:val="44"/>
              <w:keepNext w:val="0"/>
              <w:keepLines w:val="0"/>
              <w:pageBreakBefore w:val="0"/>
              <w:widowControl w:val="0"/>
              <w:kinsoku/>
              <w:wordWrap/>
              <w:overflowPunct/>
              <w:topLinePunct w:val="0"/>
              <w:autoSpaceDE w:val="0"/>
              <w:autoSpaceDN w:val="0"/>
              <w:bidi w:val="0"/>
              <w:adjustRightInd w:val="0"/>
              <w:snapToGrid/>
              <w:spacing w:line="360" w:lineRule="auto"/>
              <w:ind w:left="-105" w:leftChars="-50" w:right="-105" w:rightChars="-50"/>
              <w:jc w:val="center"/>
              <w:textAlignment w:val="auto"/>
              <w:rPr>
                <w:rFonts w:hint="eastAsia" w:eastAsia="宋体"/>
                <w:b/>
                <w:bCs/>
                <w:sz w:val="32"/>
                <w:szCs w:val="32"/>
                <w:u w:val="none"/>
                <w:vertAlign w:val="baseline"/>
                <w:lang w:eastAsia="zh-CN"/>
              </w:rPr>
            </w:pPr>
            <w:r>
              <w:rPr>
                <w:rFonts w:hint="eastAsia"/>
                <w:b/>
                <w:bCs/>
                <w:sz w:val="32"/>
                <w:szCs w:val="32"/>
                <w:u w:val="none"/>
                <w:vertAlign w:val="baseline"/>
                <w:lang w:eastAsia="zh-CN"/>
              </w:rPr>
              <w:t>六安市盈瑞机械有限公司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72" w:type="dxa"/>
            <w:noWrap w:val="0"/>
            <w:vAlign w:val="top"/>
          </w:tcPr>
          <w:p>
            <w:pPr>
              <w:pStyle w:val="44"/>
              <w:keepNext w:val="0"/>
              <w:keepLines w:val="0"/>
              <w:pageBreakBefore w:val="0"/>
              <w:widowControl w:val="0"/>
              <w:kinsoku/>
              <w:wordWrap/>
              <w:overflowPunct/>
              <w:topLinePunct w:val="0"/>
              <w:autoSpaceDE w:val="0"/>
              <w:autoSpaceDN w:val="0"/>
              <w:bidi w:val="0"/>
              <w:adjustRightInd w:val="0"/>
              <w:snapToGrid/>
              <w:spacing w:line="360" w:lineRule="auto"/>
              <w:ind w:left="-105" w:leftChars="-50" w:right="-105" w:rightChars="-50"/>
              <w:textAlignment w:val="auto"/>
              <w:rPr>
                <w:rFonts w:hint="eastAsia" w:eastAsia="宋体"/>
                <w:b/>
                <w:bCs/>
                <w:sz w:val="32"/>
                <w:szCs w:val="32"/>
                <w:vertAlign w:val="baseline"/>
                <w:lang w:eastAsia="zh-CN"/>
              </w:rPr>
            </w:pPr>
            <w:r>
              <w:rPr>
                <w:b/>
                <w:bCs/>
                <w:sz w:val="32"/>
                <w:szCs w:val="32"/>
              </w:rPr>
              <mc:AlternateContent>
                <mc:Choice Requires="wps">
                  <w:drawing>
                    <wp:anchor distT="0" distB="0" distL="114300" distR="114300" simplePos="0" relativeHeight="251661312" behindDoc="0" locked="0" layoutInCell="1" allowOverlap="1">
                      <wp:simplePos x="0" y="0"/>
                      <wp:positionH relativeFrom="column">
                        <wp:posOffset>849630</wp:posOffset>
                      </wp:positionH>
                      <wp:positionV relativeFrom="paragraph">
                        <wp:posOffset>263525</wp:posOffset>
                      </wp:positionV>
                      <wp:extent cx="4139565" cy="635"/>
                      <wp:effectExtent l="0" t="0" r="0" b="0"/>
                      <wp:wrapNone/>
                      <wp:docPr id="59" name="直接连接符 59"/>
                      <wp:cNvGraphicFramePr/>
                      <a:graphic xmlns:a="http://schemas.openxmlformats.org/drawingml/2006/main">
                        <a:graphicData uri="http://schemas.microsoft.com/office/word/2010/wordprocessingShape">
                          <wps:wsp>
                            <wps:cNvCnPr/>
                            <wps:spPr>
                              <a:xfrm>
                                <a:off x="0" y="0"/>
                                <a:ext cx="4139565"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6.9pt;margin-top:20.75pt;height:0.05pt;width:325.95pt;z-index:251661312;mso-width-relative:page;mso-height-relative:page;" filled="f" stroked="t" coordsize="21600,21600" o:gfxdata="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WKwWn1gAAAAkBAAAPAAAAAAAAAAEAIAAAACIAAABkcnMvZG93bnJldi54bWxQ&#10;SwECFAAUAAAACACHTuJApC2HKvkBAADpAwAADgAAAAAAAAABACAAAAAlAQAAZHJzL2Uyb0RvYy54&#10;bWxQSwUGAAAAAAYABgBZAQAAkAUAAAAA&#10;">
                      <v:fill on="f" focussize="0,0"/>
                      <v:stroke weight="1.5pt" color="#000000" joinstyle="round"/>
                      <v:imagedata o:title=""/>
                      <o:lock v:ext="edit" aspectratio="f"/>
                    </v:line>
                  </w:pict>
                </mc:Fallback>
              </mc:AlternateContent>
            </w:r>
            <w:r>
              <w:rPr>
                <w:rFonts w:hint="eastAsia"/>
                <w:b/>
                <w:bCs/>
                <w:sz w:val="32"/>
                <w:szCs w:val="32"/>
                <w:vertAlign w:val="baseline"/>
                <w:lang w:eastAsia="zh-CN"/>
              </w:rPr>
              <w:t>编制日期：</w:t>
            </w:r>
          </w:p>
        </w:tc>
        <w:tc>
          <w:tcPr>
            <w:tcW w:w="7283" w:type="dxa"/>
            <w:noWrap w:val="0"/>
            <w:vAlign w:val="top"/>
          </w:tcPr>
          <w:p>
            <w:pPr>
              <w:pStyle w:val="44"/>
              <w:keepNext w:val="0"/>
              <w:keepLines w:val="0"/>
              <w:pageBreakBefore w:val="0"/>
              <w:widowControl w:val="0"/>
              <w:kinsoku/>
              <w:wordWrap/>
              <w:overflowPunct/>
              <w:topLinePunct w:val="0"/>
              <w:autoSpaceDE w:val="0"/>
              <w:autoSpaceDN w:val="0"/>
              <w:bidi w:val="0"/>
              <w:adjustRightInd w:val="0"/>
              <w:snapToGrid/>
              <w:spacing w:line="360" w:lineRule="auto"/>
              <w:ind w:left="-105" w:leftChars="-50" w:right="-105" w:rightChars="-50"/>
              <w:jc w:val="center"/>
              <w:textAlignment w:val="auto"/>
              <w:rPr>
                <w:rFonts w:hint="eastAsia" w:eastAsia="宋体"/>
                <w:b/>
                <w:bCs/>
                <w:sz w:val="32"/>
                <w:szCs w:val="32"/>
                <w:u w:val="none"/>
                <w:vertAlign w:val="baseline"/>
                <w:lang w:eastAsia="zh-CN"/>
              </w:rPr>
            </w:pPr>
            <w:r>
              <w:rPr>
                <w:rFonts w:hint="eastAsia"/>
                <w:b/>
                <w:bCs/>
                <w:sz w:val="32"/>
                <w:szCs w:val="32"/>
                <w:u w:val="none"/>
                <w:vertAlign w:val="baseline"/>
                <w:lang w:eastAsia="zh-CN"/>
              </w:rPr>
              <w:t>二〇二三年</w:t>
            </w:r>
            <w:r>
              <w:rPr>
                <w:rFonts w:hint="eastAsia"/>
                <w:b/>
                <w:bCs/>
                <w:sz w:val="32"/>
                <w:szCs w:val="32"/>
                <w:u w:val="none"/>
                <w:vertAlign w:val="baseline"/>
                <w:lang w:val="en-US" w:eastAsia="zh-CN"/>
              </w:rPr>
              <w:t>十</w:t>
            </w:r>
            <w:r>
              <w:rPr>
                <w:rFonts w:hint="eastAsia"/>
                <w:b/>
                <w:bCs/>
                <w:sz w:val="32"/>
                <w:szCs w:val="32"/>
                <w:u w:val="none"/>
                <w:vertAlign w:val="baseline"/>
                <w:lang w:eastAsia="zh-CN"/>
              </w:rPr>
              <w:t>月</w:t>
            </w:r>
          </w:p>
        </w:tc>
      </w:tr>
    </w:tbl>
    <w:p>
      <w:pPr>
        <w:bidi w:val="0"/>
      </w:pPr>
    </w:p>
    <w:p>
      <w:pPr>
        <w:bidi w:val="0"/>
      </w:pPr>
    </w:p>
    <w:p>
      <w:pPr>
        <w:bidi w:val="0"/>
      </w:pPr>
      <w:bookmarkStart w:id="1" w:name="_Hlk57884087"/>
    </w:p>
    <w:p>
      <w:pPr>
        <w:pStyle w:val="8"/>
      </w:pPr>
    </w:p>
    <w:p>
      <w:pPr>
        <w:pStyle w:val="9"/>
        <w:numPr>
          <w:ilvl w:val="0"/>
          <w:numId w:val="0"/>
        </w:numPr>
      </w:pPr>
    </w:p>
    <w:p>
      <w:pPr>
        <w:bidi w:val="0"/>
        <w:rPr>
          <w:rFonts w:hint="eastAsia"/>
        </w:rPr>
      </w:pPr>
    </w:p>
    <w:bookmarkEnd w:id="1"/>
    <w:p>
      <w:pPr>
        <w:adjustRightInd w:val="0"/>
        <w:snapToGrid w:val="0"/>
        <w:spacing w:line="288" w:lineRule="auto"/>
        <w:jc w:val="center"/>
        <w:rPr>
          <w:rFonts w:hint="eastAsia" w:ascii="楷体_GB2312" w:eastAsia="楷体_GB2312"/>
          <w:sz w:val="36"/>
          <w:szCs w:val="36"/>
        </w:rPr>
      </w:pPr>
      <w:r>
        <w:rPr>
          <w:rFonts w:hint="eastAsia" w:ascii="楷体_GB2312" w:eastAsia="楷体_GB2312"/>
          <w:b/>
          <w:bCs/>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0" w:gutter="0"/>
          <w:pgBorders>
            <w:top w:val="none" w:sz="0" w:space="0"/>
            <w:left w:val="none" w:sz="0" w:space="0"/>
            <w:bottom w:val="none" w:sz="0" w:space="0"/>
            <w:right w:val="none" w:sz="0" w:space="0"/>
          </w:pgBorders>
          <w:pgNumType w:fmt="decimal" w:start="3"/>
          <w:cols w:space="720" w:num="1"/>
          <w:docGrid w:linePitch="312" w:charSpace="0"/>
        </w:sectPr>
      </w:pPr>
    </w:p>
    <w:p>
      <w:pPr>
        <w:pStyle w:val="2"/>
        <w:keepNext/>
        <w:keepLines w:val="0"/>
        <w:pageBreakBefore w:val="0"/>
        <w:widowControl w:val="0"/>
        <w:kinsoku/>
        <w:wordWrap/>
        <w:overflowPunct w:val="0"/>
        <w:topLinePunct w:val="0"/>
        <w:autoSpaceDE/>
        <w:autoSpaceDN/>
        <w:bidi w:val="0"/>
        <w:adjustRightInd/>
        <w:snapToGrid w:val="0"/>
        <w:spacing w:line="260" w:lineRule="auto"/>
        <w:ind w:left="431" w:hanging="431"/>
        <w:textAlignment w:val="auto"/>
        <w:rPr>
          <w:rFonts w:hint="eastAsia" w:ascii="宋体" w:hAnsi="宋体" w:eastAsia="宋体" w:cs="宋体"/>
          <w:color w:val="auto"/>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rtlGutter w:val="0"/>
          <w:docGrid w:type="lines" w:linePitch="312" w:charSpace="0"/>
        </w:sectPr>
      </w:pPr>
      <w:bookmarkStart w:id="2" w:name="_Toc21213"/>
      <w:bookmarkStart w:id="3" w:name="_Toc11306"/>
      <w:bookmarkStart w:id="4" w:name="_Toc26250"/>
    </w:p>
    <w:p>
      <w:pPr>
        <w:pStyle w:val="2"/>
        <w:keepNext/>
        <w:keepLines w:val="0"/>
        <w:pageBreakBefore w:val="0"/>
        <w:widowControl w:val="0"/>
        <w:kinsoku/>
        <w:wordWrap/>
        <w:overflowPunct w:val="0"/>
        <w:topLinePunct w:val="0"/>
        <w:autoSpaceDE/>
        <w:autoSpaceDN/>
        <w:bidi w:val="0"/>
        <w:adjustRightInd/>
        <w:snapToGrid w:val="0"/>
        <w:spacing w:line="260" w:lineRule="auto"/>
        <w:ind w:left="431" w:hanging="431"/>
        <w:textAlignment w:val="auto"/>
        <w:rPr>
          <w:rFonts w:hint="eastAsia" w:ascii="宋体" w:hAnsi="宋体" w:eastAsia="宋体" w:cs="宋体"/>
          <w:color w:val="auto"/>
        </w:rPr>
      </w:pPr>
      <w:r>
        <w:rPr>
          <w:rFonts w:hint="eastAsia" w:ascii="宋体" w:hAnsi="宋体" w:eastAsia="宋体" w:cs="宋体"/>
          <w:color w:val="auto"/>
        </w:rPr>
        <w:t>一、建设项目基本情况</w:t>
      </w:r>
      <w:bookmarkEnd w:id="2"/>
      <w:bookmarkEnd w:id="3"/>
      <w:bookmarkEnd w:id="4"/>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51"/>
        <w:gridCol w:w="1368"/>
        <w:gridCol w:w="2100"/>
        <w:gridCol w:w="1947"/>
        <w:gridCol w:w="29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6951" w:type="dxa"/>
            <w:gridSpan w:val="3"/>
            <w:noWrap w:val="0"/>
            <w:vAlign w:val="center"/>
          </w:tcPr>
          <w:p>
            <w:pPr>
              <w:adjustRightInd w:val="0"/>
              <w:snapToGrid w:val="0"/>
              <w:jc w:val="center"/>
              <w:rPr>
                <w:rFonts w:hint="default" w:ascii="Times New Roman" w:hAnsi="Times New Roman" w:cs="Times New Roman"/>
                <w:color w:val="auto"/>
                <w:sz w:val="24"/>
                <w:szCs w:val="24"/>
              </w:rPr>
            </w:pPr>
            <w:r>
              <w:rPr>
                <w:rFonts w:hint="eastAsia" w:cs="Times New Roman"/>
                <w:color w:val="auto"/>
                <w:sz w:val="24"/>
                <w:szCs w:val="24"/>
                <w:lang w:val="zh-CN"/>
              </w:rPr>
              <w:t>电机、汽车配件生产项目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6951" w:type="dxa"/>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100"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bookmarkStart w:id="28" w:name="_GoBack"/>
            <w:bookmarkEnd w:id="28"/>
          </w:p>
        </w:tc>
        <w:tc>
          <w:tcPr>
            <w:tcW w:w="1947"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2904"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6951" w:type="dxa"/>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u w:val="none"/>
                <w:lang w:eastAsia="zh-CN"/>
              </w:rPr>
              <w:t>安徽省</w:t>
            </w:r>
            <w:r>
              <w:rPr>
                <w:rFonts w:hint="eastAsia" w:ascii="Times New Roman" w:hAnsi="Times New Roman" w:cs="Times New Roman"/>
                <w:color w:val="auto"/>
                <w:sz w:val="24"/>
                <w:szCs w:val="24"/>
                <w:u w:val="none"/>
                <w:lang w:val="en-US" w:eastAsia="zh-CN"/>
              </w:rPr>
              <w:t>-</w:t>
            </w:r>
            <w:r>
              <w:rPr>
                <w:rFonts w:hint="eastAsia" w:ascii="Times New Roman" w:hAnsi="Times New Roman" w:cs="Times New Roman"/>
                <w:color w:val="auto"/>
                <w:sz w:val="24"/>
                <w:szCs w:val="24"/>
                <w:u w:val="none"/>
                <w:lang w:eastAsia="zh-CN"/>
              </w:rPr>
              <w:t>六安市</w:t>
            </w:r>
            <w:r>
              <w:rPr>
                <w:rFonts w:hint="eastAsia" w:ascii="Times New Roman" w:hAnsi="Times New Roman" w:cs="Times New Roman"/>
                <w:color w:val="auto"/>
                <w:sz w:val="24"/>
                <w:szCs w:val="24"/>
                <w:u w:val="none"/>
                <w:lang w:val="en-US" w:eastAsia="zh-CN"/>
              </w:rPr>
              <w:t>-</w:t>
            </w:r>
            <w:r>
              <w:rPr>
                <w:rFonts w:hint="eastAsia" w:cs="Times New Roman"/>
                <w:color w:val="auto"/>
                <w:sz w:val="24"/>
                <w:szCs w:val="24"/>
                <w:u w:val="none"/>
                <w:lang w:val="en-US" w:eastAsia="zh-CN"/>
              </w:rPr>
              <w:t>金安区-翁墩乡-红桥村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地理坐标</w:t>
            </w:r>
          </w:p>
        </w:tc>
        <w:tc>
          <w:tcPr>
            <w:tcW w:w="6951" w:type="dxa"/>
            <w:gridSpan w:val="3"/>
            <w:noWrap w:val="0"/>
            <w:vAlign w:val="center"/>
          </w:tcPr>
          <w:p>
            <w:pPr>
              <w:jc w:val="center"/>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116</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度</w:t>
            </w:r>
            <w:r>
              <w:rPr>
                <w:rFonts w:hint="eastAsia" w:cs="Times New Roman"/>
                <w:color w:val="000000" w:themeColor="text1"/>
                <w:sz w:val="24"/>
                <w:szCs w:val="24"/>
                <w:u w:val="single"/>
                <w:lang w:val="en-US" w:eastAsia="zh-CN"/>
                <w14:textFill>
                  <w14:solidFill>
                    <w14:schemeClr w14:val="tx1"/>
                  </w14:solidFill>
                </w14:textFill>
              </w:rPr>
              <w:t>36</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分</w:t>
            </w:r>
            <w:r>
              <w:rPr>
                <w:rFonts w:hint="eastAsia" w:cs="Times New Roman"/>
                <w:color w:val="000000" w:themeColor="text1"/>
                <w:sz w:val="24"/>
                <w:szCs w:val="24"/>
                <w:u w:val="single"/>
                <w:lang w:val="en-US" w:eastAsia="zh-CN"/>
                <w14:textFill>
                  <w14:solidFill>
                    <w14:schemeClr w14:val="tx1"/>
                  </w14:solidFill>
                </w14:textFill>
              </w:rPr>
              <w:t>26.56</w:t>
            </w:r>
            <w:r>
              <w:rPr>
                <w:rFonts w:hint="default" w:ascii="Times New Roman" w:hAnsi="Times New Roman" w:cs="Times New Roman"/>
                <w:color w:val="000000" w:themeColor="text1"/>
                <w:sz w:val="24"/>
                <w:szCs w:val="24"/>
                <w14:textFill>
                  <w14:solidFill>
                    <w14:schemeClr w14:val="tx1"/>
                  </w14:solidFill>
                </w14:textFill>
              </w:rPr>
              <w:t>秒，</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31</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度</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eastAsia" w:cs="Times New Roman"/>
                <w:color w:val="000000" w:themeColor="text1"/>
                <w:sz w:val="24"/>
                <w:szCs w:val="24"/>
                <w:u w:val="single"/>
                <w:lang w:val="en-US" w:eastAsia="zh-CN"/>
                <w14:textFill>
                  <w14:solidFill>
                    <w14:schemeClr w14:val="tx1"/>
                  </w14:solidFill>
                </w14:textFill>
              </w:rPr>
              <w:t>54</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分</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eastAsia" w:cs="Times New Roman"/>
                <w:color w:val="000000" w:themeColor="text1"/>
                <w:sz w:val="24"/>
                <w:szCs w:val="24"/>
                <w:u w:val="single"/>
                <w:lang w:val="en-US" w:eastAsia="zh-CN"/>
                <w14:textFill>
                  <w14:solidFill>
                    <w14:schemeClr w14:val="tx1"/>
                  </w14:solidFill>
                </w14:textFill>
              </w:rPr>
              <w:t>1.55</w:t>
            </w:r>
            <w:r>
              <w:rPr>
                <w:rFonts w:hint="default" w:ascii="Times New Roman" w:hAnsi="Times New Roman" w:cs="Times New Roman"/>
                <w:color w:val="000000" w:themeColor="text1"/>
                <w:sz w:val="24"/>
                <w:szCs w:val="24"/>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100" w:type="dxa"/>
            <w:noWrap w:val="0"/>
            <w:vAlign w:val="center"/>
          </w:tcPr>
          <w:p>
            <w:pPr>
              <w:keepNext w:val="0"/>
              <w:keepLines w:val="0"/>
              <w:pageBreakBefore w:val="0"/>
              <w:widowControl w:val="0"/>
              <w:kinsoku/>
              <w:wordWrap/>
              <w:overflowPunct/>
              <w:topLinePunct w:val="0"/>
              <w:autoSpaceDE/>
              <w:autoSpaceDN/>
              <w:bidi w:val="0"/>
              <w:adjustRightInd w:val="0"/>
              <w:snapToGrid w:val="0"/>
              <w:ind w:left="40" w:right="40"/>
              <w:jc w:val="center"/>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C</w:t>
            </w:r>
            <w:r>
              <w:rPr>
                <w:rFonts w:hint="eastAsia" w:cs="Times New Roman"/>
                <w:color w:val="auto"/>
                <w:sz w:val="24"/>
                <w:szCs w:val="24"/>
                <w:lang w:val="en-US" w:eastAsia="zh-CN"/>
              </w:rPr>
              <w:t>3391黑色金属铸造</w:t>
            </w:r>
            <w:r>
              <w:rPr>
                <w:rFonts w:hint="default" w:ascii="Times New Roman" w:hAnsi="Times New Roman" w:cs="Times New Roman"/>
                <w:color w:val="auto"/>
                <w:sz w:val="24"/>
                <w:szCs w:val="24"/>
              </w:rPr>
              <w:t xml:space="preserve"> </w:t>
            </w:r>
          </w:p>
        </w:tc>
        <w:tc>
          <w:tcPr>
            <w:tcW w:w="1947" w:type="dxa"/>
            <w:noWrap w:val="0"/>
            <w:vAlign w:val="center"/>
          </w:tcPr>
          <w:p>
            <w:pPr>
              <w:keepNext w:val="0"/>
              <w:keepLines w:val="0"/>
              <w:pageBreakBefore w:val="0"/>
              <w:widowControl w:val="0"/>
              <w:kinsoku/>
              <w:wordWrap/>
              <w:overflowPunct/>
              <w:topLinePunct w:val="0"/>
              <w:autoSpaceDE/>
              <w:autoSpaceDN/>
              <w:bidi w:val="0"/>
              <w:adjustRightInd w:val="0"/>
              <w:snapToGrid w:val="0"/>
              <w:ind w:left="40" w:right="40"/>
              <w:jc w:val="center"/>
              <w:textAlignment w:val="auto"/>
              <w:rPr>
                <w:rFonts w:hint="default" w:ascii="Times New Roman" w:hAnsi="Times New Roman" w:cs="Times New Roman"/>
                <w:color w:val="auto"/>
                <w:sz w:val="24"/>
                <w:szCs w:val="24"/>
              </w:rPr>
            </w:pPr>
            <w:bookmarkStart w:id="5" w:name="_Hlk49843745"/>
            <w:r>
              <w:rPr>
                <w:rFonts w:hint="default" w:ascii="Times New Roman" w:hAnsi="Times New Roman" w:cs="Times New Roman"/>
                <w:color w:val="auto"/>
                <w:sz w:val="24"/>
                <w:szCs w:val="24"/>
              </w:rPr>
              <w:t>建设项目</w:t>
            </w:r>
          </w:p>
          <w:p>
            <w:pPr>
              <w:keepNext w:val="0"/>
              <w:keepLines w:val="0"/>
              <w:pageBreakBefore w:val="0"/>
              <w:widowControl w:val="0"/>
              <w:kinsoku/>
              <w:wordWrap/>
              <w:overflowPunct/>
              <w:topLinePunct w:val="0"/>
              <w:autoSpaceDE/>
              <w:autoSpaceDN/>
              <w:bidi w:val="0"/>
              <w:adjustRightInd w:val="0"/>
              <w:snapToGrid w:val="0"/>
              <w:ind w:left="40" w:right="4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5"/>
          </w:p>
        </w:tc>
        <w:tc>
          <w:tcPr>
            <w:tcW w:w="290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三十</w:t>
            </w:r>
            <w:r>
              <w:rPr>
                <w:rFonts w:hint="default" w:ascii="Times New Roman" w:hAnsi="Times New Roman" w:eastAsia="宋体" w:cs="Times New Roman"/>
                <w:color w:val="auto"/>
                <w:kern w:val="0"/>
                <w:sz w:val="24"/>
              </w:rPr>
              <w:t>、</w:t>
            </w:r>
            <w:r>
              <w:rPr>
                <w:rFonts w:hint="eastAsia" w:ascii="Times New Roman" w:hAnsi="Times New Roman" w:cs="Times New Roman"/>
                <w:color w:val="auto"/>
                <w:kern w:val="0"/>
                <w:sz w:val="24"/>
                <w:lang w:val="en-US" w:eastAsia="zh-CN"/>
              </w:rPr>
              <w:t>金属制品33</w:t>
            </w:r>
          </w:p>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kern w:val="0"/>
                <w:sz w:val="24"/>
                <w:lang w:val="en-US" w:eastAsia="zh-CN"/>
              </w:rPr>
              <w:t>68、</w:t>
            </w:r>
            <w:r>
              <w:rPr>
                <w:rFonts w:hint="default" w:ascii="Times New Roman" w:hAnsi="Times New Roman" w:eastAsia="宋体" w:cs="Times New Roman"/>
                <w:color w:val="auto"/>
                <w:kern w:val="0"/>
                <w:sz w:val="24"/>
              </w:rPr>
              <w:t>铸造及其他金属制品制造339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100" w:type="dxa"/>
            <w:noWrap w:val="0"/>
            <w:vAlign w:val="center"/>
          </w:tcPr>
          <w:p>
            <w:pPr>
              <w:keepNext w:val="0"/>
              <w:keepLines w:val="0"/>
              <w:pageBreakBefore w:val="0"/>
              <w:widowControl w:val="0"/>
              <w:kinsoku/>
              <w:wordWrap/>
              <w:overflowPunct/>
              <w:topLinePunct w:val="0"/>
              <w:autoSpaceDE/>
              <w:autoSpaceDN/>
              <w:bidi w:val="0"/>
              <w:ind w:left="40" w:right="4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新建（迁建）</w:t>
            </w:r>
          </w:p>
          <w:p>
            <w:pPr>
              <w:keepNext w:val="0"/>
              <w:keepLines w:val="0"/>
              <w:pageBreakBefore w:val="0"/>
              <w:widowControl w:val="0"/>
              <w:kinsoku/>
              <w:wordWrap/>
              <w:overflowPunct/>
              <w:topLinePunct w:val="0"/>
              <w:autoSpaceDE/>
              <w:autoSpaceDN/>
              <w:bidi w:val="0"/>
              <w:ind w:left="40" w:right="4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改建</w:t>
            </w:r>
          </w:p>
          <w:p>
            <w:pPr>
              <w:keepNext w:val="0"/>
              <w:keepLines w:val="0"/>
              <w:pageBreakBefore w:val="0"/>
              <w:widowControl w:val="0"/>
              <w:kinsoku/>
              <w:wordWrap/>
              <w:overflowPunct/>
              <w:topLinePunct w:val="0"/>
              <w:autoSpaceDE/>
              <w:autoSpaceDN/>
              <w:bidi w:val="0"/>
              <w:ind w:left="40" w:right="4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扩建</w:t>
            </w:r>
          </w:p>
          <w:p>
            <w:pPr>
              <w:keepNext w:val="0"/>
              <w:keepLines w:val="0"/>
              <w:pageBreakBefore w:val="0"/>
              <w:widowControl w:val="0"/>
              <w:kinsoku/>
              <w:wordWrap/>
              <w:overflowPunct/>
              <w:topLinePunct w:val="0"/>
              <w:autoSpaceDE/>
              <w:autoSpaceDN/>
              <w:bidi w:val="0"/>
              <w:ind w:left="40" w:right="4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技术改造</w:t>
            </w:r>
          </w:p>
        </w:tc>
        <w:tc>
          <w:tcPr>
            <w:tcW w:w="1947" w:type="dxa"/>
            <w:noWrap w:val="0"/>
            <w:vAlign w:val="center"/>
          </w:tcPr>
          <w:p>
            <w:pPr>
              <w:keepNext w:val="0"/>
              <w:keepLines w:val="0"/>
              <w:pageBreakBefore w:val="0"/>
              <w:widowControl w:val="0"/>
              <w:kinsoku/>
              <w:wordWrap/>
              <w:overflowPunct/>
              <w:topLinePunct w:val="0"/>
              <w:autoSpaceDE/>
              <w:autoSpaceDN/>
              <w:bidi w:val="0"/>
              <w:adjustRightInd w:val="0"/>
              <w:snapToGrid w:val="0"/>
              <w:ind w:left="40" w:right="4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keepNext w:val="0"/>
              <w:keepLines w:val="0"/>
              <w:pageBreakBefore w:val="0"/>
              <w:widowControl w:val="0"/>
              <w:kinsoku/>
              <w:wordWrap/>
              <w:overflowPunct/>
              <w:topLinePunct w:val="0"/>
              <w:autoSpaceDE/>
              <w:autoSpaceDN/>
              <w:bidi w:val="0"/>
              <w:adjustRightInd w:val="0"/>
              <w:snapToGrid w:val="0"/>
              <w:ind w:left="40" w:right="4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2904" w:type="dxa"/>
            <w:noWrap w:val="0"/>
            <w:vAlign w:val="center"/>
          </w:tcPr>
          <w:p>
            <w:pPr>
              <w:keepNext w:val="0"/>
              <w:keepLines w:val="0"/>
              <w:pageBreakBefore w:val="0"/>
              <w:widowControl w:val="0"/>
              <w:kinsoku/>
              <w:wordWrap/>
              <w:overflowPunct/>
              <w:topLinePunct w:val="0"/>
              <w:autoSpaceDE/>
              <w:autoSpaceDN/>
              <w:bidi w:val="0"/>
              <w:ind w:left="40" w:right="40"/>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sym w:font="Wingdings 2" w:char="0052"/>
            </w:r>
            <w:r>
              <w:rPr>
                <w:rFonts w:hint="default" w:ascii="Times New Roman" w:hAnsi="Times New Roman" w:cs="Times New Roman"/>
                <w:color w:val="auto"/>
                <w:sz w:val="24"/>
                <w:szCs w:val="24"/>
              </w:rPr>
              <w:t>首次申报项目</w:t>
            </w:r>
          </w:p>
          <w:p>
            <w:pPr>
              <w:keepNext w:val="0"/>
              <w:keepLines w:val="0"/>
              <w:pageBreakBefore w:val="0"/>
              <w:widowControl w:val="0"/>
              <w:kinsoku/>
              <w:wordWrap/>
              <w:overflowPunct/>
              <w:topLinePunct w:val="0"/>
              <w:autoSpaceDE/>
              <w:autoSpaceDN/>
              <w:bidi w:val="0"/>
              <w:adjustRightInd/>
              <w:snapToGrid/>
              <w:ind w:left="40" w:right="-105" w:rightChars="-5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不予批准后再次申报项目</w:t>
            </w:r>
          </w:p>
          <w:p>
            <w:pPr>
              <w:keepNext w:val="0"/>
              <w:keepLines w:val="0"/>
              <w:pageBreakBefore w:val="0"/>
              <w:widowControl w:val="0"/>
              <w:kinsoku/>
              <w:wordWrap/>
              <w:overflowPunct/>
              <w:topLinePunct w:val="0"/>
              <w:autoSpaceDE/>
              <w:autoSpaceDN/>
              <w:bidi w:val="0"/>
              <w:ind w:left="40" w:right="4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超五年重新审核项目</w:t>
            </w:r>
          </w:p>
          <w:p>
            <w:pPr>
              <w:keepNext w:val="0"/>
              <w:keepLines w:val="0"/>
              <w:pageBreakBefore w:val="0"/>
              <w:widowControl w:val="0"/>
              <w:kinsoku/>
              <w:wordWrap/>
              <w:overflowPunct/>
              <w:topLinePunct w:val="0"/>
              <w:autoSpaceDE/>
              <w:autoSpaceDN/>
              <w:bidi w:val="0"/>
              <w:ind w:left="40" w:right="4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备案）部门（选填）</w:t>
            </w:r>
          </w:p>
        </w:tc>
        <w:tc>
          <w:tcPr>
            <w:tcW w:w="2100"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六安市金安区发展和改革委员会</w:t>
            </w:r>
          </w:p>
        </w:tc>
        <w:tc>
          <w:tcPr>
            <w:tcW w:w="1947"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2904"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金发改项字[2011]475号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2100"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300</w:t>
            </w:r>
          </w:p>
        </w:tc>
        <w:tc>
          <w:tcPr>
            <w:tcW w:w="1947"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2904"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2100"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w:t>
            </w:r>
          </w:p>
        </w:tc>
        <w:tc>
          <w:tcPr>
            <w:tcW w:w="1947"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2904"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12</w:t>
            </w:r>
            <w:r>
              <w:rPr>
                <w:rFonts w:hint="eastAsia" w:ascii="Times New Roman" w:hAnsi="Times New Roman" w:eastAsia="宋体" w:cs="Times New Roman"/>
                <w:color w:val="auto"/>
                <w:sz w:val="24"/>
                <w:szCs w:val="24"/>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100" w:type="dxa"/>
            <w:noWrap w:val="0"/>
            <w:vAlign w:val="center"/>
          </w:tcPr>
          <w:p>
            <w:pPr>
              <w:adjustRightInd w:val="0"/>
              <w:snapToGrid w:val="0"/>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否</w:t>
            </w:r>
          </w:p>
          <w:p>
            <w:pPr>
              <w:adjustRightInd w:val="0"/>
              <w:snapToGrid w:val="0"/>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是：</w:t>
            </w:r>
          </w:p>
        </w:tc>
        <w:tc>
          <w:tcPr>
            <w:tcW w:w="1947"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用地面积（m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2904"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2426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919" w:type="dxa"/>
            <w:gridSpan w:val="2"/>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6951" w:type="dxa"/>
            <w:gridSpan w:val="3"/>
            <w:noWrap w:val="0"/>
            <w:vAlign w:val="center"/>
          </w:tcPr>
          <w:p>
            <w:pPr>
              <w:pStyle w:val="68"/>
              <w:bidi w:val="0"/>
              <w:rPr>
                <w:rFonts w:hint="eastAsia"/>
                <w:color w:val="auto"/>
                <w:sz w:val="24"/>
                <w:szCs w:val="24"/>
                <w:lang w:eastAsia="zh-CN"/>
              </w:rPr>
            </w:pPr>
            <w:r>
              <w:rPr>
                <w:rFonts w:hint="eastAsia"/>
                <w:color w:val="auto"/>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9" w:type="dxa"/>
            <w:gridSpan w:val="2"/>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规划情况</w:t>
            </w:r>
          </w:p>
        </w:tc>
        <w:tc>
          <w:tcPr>
            <w:tcW w:w="6951" w:type="dxa"/>
            <w:gridSpan w:val="3"/>
            <w:noWrap w:val="0"/>
            <w:vAlign w:val="center"/>
          </w:tcPr>
          <w:p>
            <w:pPr>
              <w:autoSpaceDE w:val="0"/>
              <w:autoSpaceDN w:val="0"/>
              <w:adjustRightInd w:val="0"/>
              <w:snapToGrid w:val="0"/>
              <w:jc w:val="center"/>
              <w:rPr>
                <w:rFonts w:hint="eastAsia" w:ascii="Times New Roman" w:hAnsi="Times New Roman" w:cs="Times New Roman"/>
                <w:color w:val="auto"/>
                <w:kern w:val="0"/>
                <w:sz w:val="24"/>
                <w:szCs w:val="24"/>
                <w:lang w:eastAsia="zh-CN"/>
              </w:rPr>
            </w:pPr>
            <w:r>
              <w:rPr>
                <w:rFonts w:hint="eastAsia" w:ascii="Times New Roman" w:hAnsi="Times New Roman" w:cs="Times New Roman"/>
                <w:color w:val="auto"/>
                <w:kern w:val="0"/>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919" w:type="dxa"/>
            <w:gridSpan w:val="2"/>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规划环境影响</w:t>
            </w:r>
          </w:p>
          <w:p>
            <w:pPr>
              <w:autoSpaceDE w:val="0"/>
              <w:autoSpaceDN w:val="0"/>
              <w:adjustRightInd w:val="0"/>
              <w:snapToGrid w:val="0"/>
              <w:jc w:val="center"/>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rPr>
              <w:t>评价情况</w:t>
            </w:r>
          </w:p>
        </w:tc>
        <w:tc>
          <w:tcPr>
            <w:tcW w:w="6951" w:type="dxa"/>
            <w:gridSpan w:val="3"/>
            <w:noWrap w:val="0"/>
            <w:vAlign w:val="center"/>
          </w:tcPr>
          <w:p>
            <w:pPr>
              <w:autoSpaceDE w:val="0"/>
              <w:autoSpaceDN w:val="0"/>
              <w:adjustRightInd w:val="0"/>
              <w:snapToGrid w:val="0"/>
              <w:jc w:val="center"/>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919" w:type="dxa"/>
            <w:gridSpan w:val="2"/>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w:t>
            </w:r>
          </w:p>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影响评价符合性分析</w:t>
            </w:r>
          </w:p>
        </w:tc>
        <w:tc>
          <w:tcPr>
            <w:tcW w:w="6951" w:type="dxa"/>
            <w:gridSpan w:val="3"/>
            <w:noWrap w:val="0"/>
            <w:vAlign w:val="center"/>
          </w:tcPr>
          <w:p>
            <w:pPr>
              <w:autoSpaceDE w:val="0"/>
              <w:autoSpaceDN w:val="0"/>
              <w:adjustRightInd w:val="0"/>
              <w:snapToGrid w:val="0"/>
              <w:jc w:val="center"/>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1" w:type="dxa"/>
            <w:noWrap w:val="0"/>
            <w:vAlign w:val="center"/>
          </w:tcPr>
          <w:p>
            <w:pPr>
              <w:autoSpaceDE w:val="0"/>
              <w:autoSpaceDN w:val="0"/>
              <w:adjustRightInd w:val="0"/>
              <w:snapToGrid w:val="0"/>
              <w:jc w:val="center"/>
              <w:rPr>
                <w:rFonts w:hint="eastAsia" w:ascii="Times New Roman" w:hAnsi="Times New Roman" w:eastAsia="宋体" w:cs="Times New Roman"/>
                <w:color w:val="auto"/>
                <w:kern w:val="0"/>
                <w:sz w:val="24"/>
                <w:szCs w:val="24"/>
                <w:lang w:eastAsia="zh-CN"/>
              </w:rPr>
            </w:pPr>
            <w:r>
              <w:rPr>
                <w:rFonts w:hint="eastAsia" w:ascii="Times New Roman" w:hAnsi="Times New Roman" w:cs="Times New Roman"/>
                <w:color w:val="auto"/>
                <w:kern w:val="0"/>
                <w:sz w:val="24"/>
                <w:szCs w:val="24"/>
                <w:lang w:eastAsia="zh-CN"/>
              </w:rPr>
              <w:t>其他符合性分析</w:t>
            </w:r>
          </w:p>
        </w:tc>
        <w:tc>
          <w:tcPr>
            <w:tcW w:w="8319" w:type="dxa"/>
            <w:gridSpan w:val="4"/>
            <w:noWrap w:val="0"/>
            <w:vAlign w:val="top"/>
          </w:tcPr>
          <w:p>
            <w:pPr>
              <w:pStyle w:val="82"/>
              <w:bidi w:val="0"/>
              <w:rPr>
                <w:rFonts w:hint="eastAsia" w:ascii="Times New Roman" w:hAnsi="Times New Roman" w:eastAsia="宋体" w:cs="Times New Roman"/>
                <w:kern w:val="2"/>
                <w:sz w:val="24"/>
                <w:szCs w:val="22"/>
                <w:lang w:val="en-US" w:eastAsia="zh-CN" w:bidi="ar-SA"/>
              </w:rPr>
            </w:pPr>
            <w:r>
              <w:rPr>
                <w:rFonts w:hint="eastAsia" w:ascii="宋体" w:hAnsi="宋体" w:eastAsia="宋体" w:cs="宋体"/>
                <w:b/>
                <w:bCs/>
                <w:color w:val="auto"/>
                <w:kern w:val="2"/>
                <w:sz w:val="24"/>
                <w:szCs w:val="22"/>
                <w:lang w:val="en-US" w:eastAsia="zh-CN" w:bidi="ar-SA"/>
              </w:rPr>
              <w:t xml:space="preserve">1 </w:t>
            </w:r>
            <w:r>
              <w:rPr>
                <w:rFonts w:hint="eastAsia" w:ascii="宋体" w:hAnsi="宋体" w:cs="宋体"/>
                <w:b/>
                <w:bCs/>
                <w:color w:val="auto"/>
                <w:kern w:val="2"/>
                <w:sz w:val="24"/>
                <w:szCs w:val="22"/>
                <w:lang w:val="en-US" w:eastAsia="zh-CN" w:bidi="ar-SA"/>
              </w:rPr>
              <w:t>、</w:t>
            </w:r>
            <w:r>
              <w:rPr>
                <w:rFonts w:hint="eastAsia" w:ascii="Times New Roman" w:hAnsi="Times New Roman" w:eastAsia="宋体" w:cs="Times New Roman"/>
                <w:b/>
                <w:bCs/>
                <w:color w:val="auto"/>
                <w:kern w:val="2"/>
                <w:sz w:val="24"/>
                <w:szCs w:val="22"/>
                <w:lang w:val="en-US" w:eastAsia="zh-CN" w:bidi="ar-SA"/>
              </w:rPr>
              <w:t>“三线一单”符合性分析</w:t>
            </w:r>
          </w:p>
          <w:p>
            <w:pPr>
              <w:pStyle w:val="41"/>
              <w:bidi w:val="0"/>
              <w:rPr>
                <w:rFonts w:hint="eastAsia" w:eastAsia="宋体"/>
                <w:lang w:eastAsia="zh-CN"/>
              </w:rPr>
            </w:pPr>
            <w:r>
              <w:rPr>
                <w:rFonts w:hint="eastAsia"/>
                <w:lang w:eastAsia="zh-CN"/>
              </w:rPr>
              <w:t>本项目与六安市“三线一单”</w:t>
            </w:r>
            <w:r>
              <w:rPr>
                <w:rFonts w:hint="eastAsia"/>
              </w:rPr>
              <w:t>相符性分析</w:t>
            </w:r>
            <w:r>
              <w:rPr>
                <w:rFonts w:hint="eastAsia"/>
                <w:lang w:eastAsia="zh-CN"/>
              </w:rPr>
              <w:t>如下：</w:t>
            </w:r>
          </w:p>
          <w:p>
            <w:pPr>
              <w:bidi w:val="0"/>
              <w:spacing w:line="360" w:lineRule="auto"/>
              <w:ind w:firstLine="482" w:firstLineChars="200"/>
              <w:jc w:val="both"/>
              <w:rPr>
                <w:rFonts w:hint="eastAsia" w:ascii="Times New Roman" w:hAnsi="Times New Roman" w:eastAsia="宋体" w:cs="Times New Roman"/>
                <w:b/>
                <w:bCs/>
                <w:color w:val="auto"/>
                <w:sz w:val="24"/>
                <w:szCs w:val="22"/>
              </w:rPr>
            </w:pPr>
            <w:r>
              <w:rPr>
                <w:rFonts w:hint="eastAsia" w:ascii="Times New Roman" w:hAnsi="Times New Roman" w:eastAsia="宋体" w:cs="Times New Roman"/>
                <w:b/>
                <w:bCs/>
                <w:color w:val="auto"/>
                <w:sz w:val="24"/>
                <w:szCs w:val="22"/>
              </w:rPr>
              <w:t>（1）生态保护红线</w:t>
            </w:r>
          </w:p>
          <w:p>
            <w:pPr>
              <w:pStyle w:val="41"/>
              <w:bidi w:val="0"/>
              <w:rPr>
                <w:rFonts w:hint="eastAsia"/>
              </w:rPr>
            </w:pPr>
            <w:r>
              <w:rPr>
                <w:rFonts w:hint="eastAsia"/>
                <w:lang w:eastAsia="zh-CN"/>
              </w:rPr>
              <w:t>对照六安市生态保护红线图</w:t>
            </w:r>
            <w:r>
              <w:rPr>
                <w:rFonts w:hint="eastAsia"/>
              </w:rPr>
              <w:t>，本项目不</w:t>
            </w:r>
            <w:r>
              <w:rPr>
                <w:rFonts w:hint="eastAsia"/>
                <w:lang w:val="en-US" w:eastAsia="zh-CN"/>
              </w:rPr>
              <w:t>在六安市</w:t>
            </w:r>
            <w:r>
              <w:rPr>
                <w:rFonts w:hint="eastAsia"/>
              </w:rPr>
              <w:t>生态红线范围内，符合生态保护红线要求</w:t>
            </w:r>
            <w:r>
              <w:rPr>
                <w:rFonts w:hint="eastAsia"/>
                <w:lang w:eastAsia="zh-CN"/>
              </w:rPr>
              <w:t>。</w:t>
            </w:r>
          </w:p>
          <w:p>
            <w:pPr>
              <w:pStyle w:val="38"/>
              <w:keepNext w:val="0"/>
              <w:keepLines w:val="0"/>
              <w:pageBreakBefore w:val="0"/>
              <w:widowControl/>
              <w:kinsoku/>
              <w:wordWrap/>
              <w:overflowPunct/>
              <w:topLinePunct w:val="0"/>
              <w:autoSpaceDE/>
              <w:autoSpaceDN/>
              <w:bidi w:val="0"/>
              <w:adjustRightInd/>
              <w:snapToGrid/>
              <w:textAlignment w:val="auto"/>
              <w:rPr>
                <w:rFonts w:hint="eastAsia"/>
                <w:lang w:eastAsia="zh-CN"/>
              </w:rPr>
            </w:pPr>
          </w:p>
          <w:p>
            <w:pPr>
              <w:pStyle w:val="38"/>
              <w:keepNext w:val="0"/>
              <w:keepLines w:val="0"/>
              <w:pageBreakBefore w:val="0"/>
              <w:widowControl/>
              <w:kinsoku/>
              <w:wordWrap/>
              <w:overflowPunct/>
              <w:topLinePunct w:val="0"/>
              <w:autoSpaceDE/>
              <w:autoSpaceDN/>
              <w:bidi w:val="0"/>
              <w:adjustRightInd/>
              <w:snapToGrid/>
              <w:textAlignment w:val="auto"/>
              <w:rPr>
                <w:rFonts w:hint="eastAsia"/>
                <w:lang w:eastAsia="zh-CN"/>
              </w:rPr>
            </w:pPr>
            <w:r>
              <w:rPr>
                <w:rFonts w:hint="eastAsia"/>
                <w:lang w:eastAsia="zh-CN"/>
              </w:rPr>
              <w:drawing>
                <wp:inline distT="0" distB="0" distL="114300" distR="114300">
                  <wp:extent cx="4345940" cy="5061585"/>
                  <wp:effectExtent l="0" t="0" r="16510" b="5715"/>
                  <wp:docPr id="7" name="图片 7" descr="05六安市生态保护红线分布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5六安市生态保护红线分布图(1)"/>
                          <pic:cNvPicPr>
                            <a:picLocks noChangeAspect="1"/>
                          </pic:cNvPicPr>
                        </pic:nvPicPr>
                        <pic:blipFill>
                          <a:blip r:embed="rId10"/>
                          <a:stretch>
                            <a:fillRect/>
                          </a:stretch>
                        </pic:blipFill>
                        <pic:spPr>
                          <a:xfrm>
                            <a:off x="0" y="0"/>
                            <a:ext cx="4345940" cy="5061585"/>
                          </a:xfrm>
                          <a:prstGeom prst="rect">
                            <a:avLst/>
                          </a:prstGeom>
                        </pic:spPr>
                      </pic:pic>
                    </a:graphicData>
                  </a:graphic>
                </wp:inline>
              </w:drawing>
            </w:r>
          </w:p>
          <w:p>
            <w:pPr>
              <w:pStyle w:val="38"/>
              <w:keepNext w:val="0"/>
              <w:keepLines w:val="0"/>
              <w:pageBreakBefore w:val="0"/>
              <w:widowControl/>
              <w:kinsoku/>
              <w:wordWrap/>
              <w:overflowPunct/>
              <w:topLinePunct w:val="0"/>
              <w:autoSpaceDE/>
              <w:autoSpaceDN/>
              <w:bidi w:val="0"/>
              <w:adjustRightInd/>
              <w:snapToGrid/>
              <w:textAlignment w:val="auto"/>
              <w:rPr>
                <w:rFonts w:hint="eastAsia"/>
                <w:lang w:val="en-US" w:eastAsia="zh-CN"/>
              </w:rPr>
            </w:pPr>
            <w:r>
              <w:rPr>
                <w:rFonts w:hint="eastAsia"/>
                <w:lang w:val="en-US" w:eastAsia="zh-CN"/>
              </w:rPr>
              <w:t>图1-1</w:t>
            </w:r>
            <w:r>
              <w:rPr>
                <w:lang w:val="en-US" w:eastAsia="zh-CN"/>
              </w:rPr>
              <w:t xml:space="preserve"> </w:t>
            </w:r>
            <w:r>
              <w:rPr>
                <w:rFonts w:hint="eastAsia"/>
                <w:lang w:val="en-US" w:eastAsia="zh-CN"/>
              </w:rPr>
              <w:t>六安市生态保护红线图</w:t>
            </w:r>
          </w:p>
          <w:p>
            <w:pPr>
              <w:pStyle w:val="4"/>
              <w:keepNext/>
              <w:keepLines/>
              <w:pageBreakBefore w:val="0"/>
              <w:widowControl w:val="0"/>
              <w:kinsoku/>
              <w:wordWrap/>
              <w:overflowPunct/>
              <w:topLinePunct w:val="0"/>
              <w:autoSpaceDE/>
              <w:autoSpaceDN/>
              <w:bidi w:val="0"/>
              <w:adjustRightInd/>
              <w:snapToGrid/>
              <w:spacing w:before="0" w:after="20" w:line="20" w:lineRule="exact"/>
              <w:jc w:val="both"/>
              <w:textAlignment w:val="auto"/>
              <w:rPr>
                <w:rFonts w:hint="eastAsia" w:ascii="Times New Roman" w:hAnsi="Times New Roman" w:eastAsia="宋体" w:cs="宋体"/>
                <w:b/>
                <w:color w:val="auto"/>
                <w:kern w:val="2"/>
                <w:sz w:val="21"/>
                <w:szCs w:val="21"/>
                <w:lang w:val="en-US" w:eastAsia="zh-CN" w:bidi="ar-SA"/>
              </w:rPr>
            </w:pPr>
          </w:p>
          <w:p>
            <w:pPr>
              <w:pStyle w:val="72"/>
              <w:bidi w:val="0"/>
              <w:jc w:val="both"/>
              <w:rPr>
                <w:rFonts w:hint="eastAsia"/>
                <w:b/>
                <w:bCs/>
                <w:color w:val="auto"/>
              </w:rPr>
            </w:pPr>
            <w:r>
              <w:rPr>
                <w:rFonts w:hint="eastAsia"/>
                <w:b/>
                <w:bCs/>
                <w:color w:val="auto"/>
              </w:rPr>
              <w:t>（2）环境质量底线</w:t>
            </w:r>
          </w:p>
          <w:p>
            <w:pPr>
              <w:pStyle w:val="41"/>
              <w:bidi w:val="0"/>
              <w:rPr>
                <w:rFonts w:hint="eastAsia"/>
                <w:lang w:val="en-US" w:eastAsia="zh-CN"/>
              </w:rPr>
            </w:pPr>
            <w:r>
              <w:rPr>
                <w:rFonts w:hint="eastAsia"/>
                <w:lang w:val="en-US" w:eastAsia="zh-CN"/>
              </w:rPr>
              <w:t>根据环境现状分析，2022年六安市区域SO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年平均浓度、O</w:t>
            </w:r>
            <w:r>
              <w:rPr>
                <w:rFonts w:hint="eastAsia"/>
                <w:vertAlign w:val="subscript"/>
                <w:lang w:val="en-US" w:eastAsia="zh-CN"/>
              </w:rPr>
              <w:t>3</w:t>
            </w:r>
            <w:r>
              <w:rPr>
                <w:rFonts w:hint="eastAsia"/>
                <w:lang w:val="en-US" w:eastAsia="zh-CN"/>
              </w:rPr>
              <w:t>八小时平均浓度第90百分位浓度、CO日均值第95百分位浓度、PM</w:t>
            </w:r>
            <w:r>
              <w:rPr>
                <w:rFonts w:hint="eastAsia"/>
                <w:vertAlign w:val="subscript"/>
                <w:lang w:val="en-US" w:eastAsia="zh-CN"/>
              </w:rPr>
              <w:t>2.5</w:t>
            </w:r>
            <w:r>
              <w:rPr>
                <w:rFonts w:hint="eastAsia"/>
                <w:lang w:val="en-US" w:eastAsia="zh-CN"/>
              </w:rPr>
              <w:t>、PM</w:t>
            </w:r>
            <w:r>
              <w:rPr>
                <w:rFonts w:hint="eastAsia"/>
                <w:vertAlign w:val="subscript"/>
                <w:lang w:val="en-US" w:eastAsia="zh-CN"/>
              </w:rPr>
              <w:t>10</w:t>
            </w:r>
            <w:r>
              <w:rPr>
                <w:rFonts w:hint="eastAsia"/>
                <w:lang w:val="en-US" w:eastAsia="zh-CN"/>
              </w:rPr>
              <w:t>年平均浓度等均满足《环境空气质量标准》（GB3095-2012）中二级标准，属于达标区。</w:t>
            </w:r>
          </w:p>
          <w:p>
            <w:pPr>
              <w:pStyle w:val="41"/>
              <w:bidi w:val="0"/>
              <w:rPr>
                <w:rFonts w:hint="default"/>
                <w:kern w:val="0"/>
                <w:sz w:val="24"/>
                <w:lang w:val="en-US" w:eastAsia="zh-CN"/>
              </w:rPr>
            </w:pPr>
            <w:r>
              <w:rPr>
                <w:rFonts w:hint="default"/>
                <w:kern w:val="0"/>
                <w:sz w:val="24"/>
                <w:lang w:eastAsia="zh-CN"/>
              </w:rPr>
              <w:t>2023年第二季度淠东干渠六淮界断面水质满足《地表水环境质量标准》（GB3838-2002）中Ⅲ类标准要求，</w:t>
            </w:r>
            <w:r>
              <w:rPr>
                <w:rFonts w:hint="default"/>
                <w:kern w:val="0"/>
                <w:sz w:val="24"/>
                <w:lang w:val="en-US" w:eastAsia="zh-CN"/>
              </w:rPr>
              <w:t>较上一季度水质好转。</w:t>
            </w:r>
            <w:r>
              <w:rPr>
                <w:rFonts w:hint="eastAsia"/>
                <w:kern w:val="0"/>
                <w:sz w:val="24"/>
                <w:lang w:val="en-US" w:eastAsia="zh-CN"/>
              </w:rPr>
              <w:t>本项目废水为</w:t>
            </w:r>
            <w:r>
              <w:rPr>
                <w:rFonts w:hint="default"/>
                <w:kern w:val="0"/>
                <w:sz w:val="24"/>
                <w:lang w:val="en-US" w:eastAsia="zh-CN"/>
              </w:rPr>
              <w:t>生活污水</w:t>
            </w:r>
            <w:r>
              <w:rPr>
                <w:rFonts w:hint="eastAsia"/>
                <w:kern w:val="0"/>
                <w:sz w:val="24"/>
                <w:lang w:val="en-US" w:eastAsia="zh-CN"/>
              </w:rPr>
              <w:t>，</w:t>
            </w:r>
            <w:r>
              <w:rPr>
                <w:rFonts w:hint="default"/>
                <w:kern w:val="0"/>
                <w:sz w:val="24"/>
                <w:lang w:val="en-US" w:eastAsia="zh-CN"/>
              </w:rPr>
              <w:t>经</w:t>
            </w:r>
            <w:r>
              <w:rPr>
                <w:rFonts w:hint="eastAsia"/>
                <w:kern w:val="0"/>
                <w:sz w:val="24"/>
                <w:lang w:val="en-US" w:eastAsia="zh-CN"/>
              </w:rPr>
              <w:t>旱厕处理后作为农肥使用，不排入地表水体。</w:t>
            </w:r>
          </w:p>
          <w:p>
            <w:pPr>
              <w:pStyle w:val="41"/>
              <w:bidi w:val="0"/>
              <w:rPr>
                <w:rFonts w:hint="eastAsia" w:ascii="Times New Roman" w:hAnsi="Times New Roman" w:eastAsia="宋体" w:cs="Times New Roman"/>
                <w:color w:val="0000FF"/>
                <w:kern w:val="0"/>
                <w:sz w:val="24"/>
                <w:szCs w:val="24"/>
                <w:lang w:val="en-US" w:eastAsia="zh-CN" w:bidi="ar-SA"/>
              </w:rPr>
            </w:pPr>
            <w:r>
              <w:rPr>
                <w:rFonts w:hint="eastAsia"/>
                <w:kern w:val="0"/>
                <w:sz w:val="24"/>
                <w:lang w:val="en-US" w:eastAsia="zh-CN"/>
              </w:rPr>
              <w:t>根据环境影响分析，建设单位在落实本次评价提出的各项污染物防治措施后，各项污染物均能做到稳定达标排放，不会降低区域</w:t>
            </w:r>
            <w:r>
              <w:rPr>
                <w:rFonts w:hint="eastAsia" w:ascii="Times New Roman" w:hAnsi="Times New Roman" w:eastAsia="宋体" w:cs="Times New Roman"/>
                <w:color w:val="auto"/>
                <w:kern w:val="0"/>
                <w:sz w:val="24"/>
                <w:szCs w:val="24"/>
                <w:lang w:val="en-US" w:eastAsia="zh-CN" w:bidi="ar-SA"/>
              </w:rPr>
              <w:t>环境质量的原有功能级别，满足环境质量底线控制要求。</w:t>
            </w:r>
          </w:p>
          <w:p>
            <w:pPr>
              <w:pStyle w:val="82"/>
              <w:bidi w:val="0"/>
              <w:jc w:val="both"/>
              <w:rPr>
                <w:rFonts w:hint="eastAsia"/>
                <w:b/>
                <w:bCs/>
                <w:color w:val="auto"/>
              </w:rPr>
            </w:pPr>
            <w:r>
              <w:rPr>
                <w:rFonts w:hint="eastAsia"/>
                <w:b/>
                <w:bCs/>
                <w:color w:val="auto"/>
              </w:rPr>
              <w:t>（3）资源利用上线</w:t>
            </w:r>
          </w:p>
          <w:p>
            <w:pPr>
              <w:pStyle w:val="82"/>
              <w:bidi w:val="0"/>
              <w:jc w:val="both"/>
              <w:rPr>
                <w:rFonts w:hint="eastAsia"/>
                <w:color w:val="auto"/>
              </w:rPr>
            </w:pPr>
            <w:r>
              <w:rPr>
                <w:rFonts w:hint="eastAsia"/>
                <w:color w:val="auto"/>
              </w:rPr>
              <w:t>本项目</w:t>
            </w:r>
            <w:r>
              <w:rPr>
                <w:rFonts w:hint="eastAsia"/>
                <w:color w:val="auto"/>
                <w:lang w:eastAsia="zh-CN"/>
              </w:rPr>
              <w:t>运营</w:t>
            </w:r>
            <w:r>
              <w:rPr>
                <w:rFonts w:hint="eastAsia"/>
                <w:color w:val="auto"/>
              </w:rPr>
              <w:t>过程</w:t>
            </w:r>
            <w:r>
              <w:rPr>
                <w:rFonts w:hint="eastAsia"/>
                <w:color w:val="auto"/>
                <w:lang w:eastAsia="zh-CN"/>
              </w:rPr>
              <w:t>中</w:t>
            </w:r>
            <w:r>
              <w:rPr>
                <w:rFonts w:hint="eastAsia"/>
                <w:color w:val="auto"/>
              </w:rPr>
              <w:t>利用的资源主要为水</w:t>
            </w:r>
            <w:r>
              <w:rPr>
                <w:rFonts w:hint="eastAsia"/>
                <w:color w:val="auto"/>
                <w:lang w:eastAsia="zh-CN"/>
              </w:rPr>
              <w:t>、</w:t>
            </w:r>
            <w:r>
              <w:rPr>
                <w:rFonts w:hint="eastAsia"/>
                <w:color w:val="auto"/>
              </w:rPr>
              <w:t>电</w:t>
            </w:r>
            <w:r>
              <w:rPr>
                <w:rFonts w:hint="eastAsia"/>
                <w:color w:val="auto"/>
                <w:lang w:eastAsia="zh-CN"/>
              </w:rPr>
              <w:t>，运营期间</w:t>
            </w:r>
            <w:r>
              <w:rPr>
                <w:rFonts w:hint="eastAsia"/>
                <w:color w:val="auto"/>
              </w:rPr>
              <w:t>通过内部管理、设备选择等多方面采取合理可行的</w:t>
            </w:r>
            <w:r>
              <w:rPr>
                <w:rFonts w:hint="eastAsia"/>
                <w:color w:val="auto"/>
                <w:lang w:eastAsia="zh-CN"/>
              </w:rPr>
              <w:t>方案</w:t>
            </w:r>
            <w:r>
              <w:rPr>
                <w:rFonts w:hint="eastAsia"/>
                <w:color w:val="auto"/>
              </w:rPr>
              <w:t>，以“节能、降耗”为目标，有效地控制</w:t>
            </w:r>
            <w:r>
              <w:rPr>
                <w:rFonts w:hint="eastAsia"/>
                <w:color w:val="auto"/>
                <w:lang w:eastAsia="zh-CN"/>
              </w:rPr>
              <w:t>资源利用</w:t>
            </w:r>
            <w:r>
              <w:rPr>
                <w:rFonts w:hint="eastAsia"/>
                <w:color w:val="auto"/>
              </w:rPr>
              <w:t>。</w:t>
            </w:r>
            <w:r>
              <w:rPr>
                <w:rFonts w:hint="eastAsia"/>
                <w:color w:val="auto"/>
                <w:lang w:eastAsia="zh-CN"/>
              </w:rPr>
              <w:t>故本</w:t>
            </w:r>
            <w:r>
              <w:rPr>
                <w:rFonts w:hint="eastAsia"/>
                <w:color w:val="auto"/>
              </w:rPr>
              <w:t>项目的资源利用不会突破区域资源利用上线。</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szCs w:val="22"/>
              </w:rPr>
            </w:pPr>
            <w:r>
              <w:rPr>
                <w:rFonts w:hint="eastAsia" w:ascii="Times New Roman" w:hAnsi="Times New Roman" w:eastAsia="宋体" w:cs="Times New Roman"/>
                <w:b/>
                <w:bCs/>
                <w:color w:val="auto"/>
                <w:sz w:val="24"/>
                <w:szCs w:val="22"/>
              </w:rPr>
              <w:t>（4）</w:t>
            </w:r>
            <w:r>
              <w:rPr>
                <w:rFonts w:hint="eastAsia" w:cs="Times New Roman"/>
                <w:b/>
                <w:bCs/>
                <w:color w:val="auto"/>
                <w:sz w:val="24"/>
                <w:szCs w:val="22"/>
                <w:lang w:val="en-US" w:eastAsia="zh-CN"/>
              </w:rPr>
              <w:t>生态</w:t>
            </w:r>
            <w:r>
              <w:rPr>
                <w:rFonts w:hint="eastAsia" w:ascii="Times New Roman" w:hAnsi="Times New Roman" w:eastAsia="宋体" w:cs="Times New Roman"/>
                <w:b/>
                <w:bCs/>
                <w:color w:val="auto"/>
                <w:sz w:val="24"/>
                <w:szCs w:val="22"/>
              </w:rPr>
              <w:t>环境准入清单</w:t>
            </w:r>
          </w:p>
          <w:p>
            <w:pPr>
              <w:pStyle w:val="75"/>
              <w:ind w:left="-2" w:firstLine="480"/>
              <w:rPr>
                <w:color w:val="000000" w:themeColor="text1"/>
                <w14:textFill>
                  <w14:solidFill>
                    <w14:schemeClr w14:val="tx1"/>
                  </w14:solidFill>
                </w14:textFill>
              </w:rPr>
            </w:pPr>
            <w:r>
              <w:rPr>
                <w:color w:val="000000" w:themeColor="text1"/>
                <w14:textFill>
                  <w14:solidFill>
                    <w14:schemeClr w14:val="tx1"/>
                  </w14:solidFill>
                </w14:textFill>
              </w:rPr>
              <w:t>项目位于六安市翁墩乡，</w:t>
            </w:r>
            <w:r>
              <w:rPr>
                <w:rFonts w:hint="eastAsia"/>
                <w:color w:val="000000" w:themeColor="text1"/>
                <w14:textFill>
                  <w14:solidFill>
                    <w14:schemeClr w14:val="tx1"/>
                  </w14:solidFill>
                </w14:textFill>
              </w:rPr>
              <w:t>经对照“安徽省‘三线一单’公众服务平台”，项目位于一般管控单元，编号ZH34150230035。相关管控要求见下表。</w:t>
            </w:r>
          </w:p>
          <w:p>
            <w:pPr>
              <w:pStyle w:val="107"/>
              <w:rPr>
                <w:b/>
                <w:bCs/>
                <w:color w:val="000000" w:themeColor="text1"/>
                <w:sz w:val="24"/>
                <w:szCs w:val="24"/>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1-1</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一般管控单元生态环境准入清单</w:t>
            </w:r>
          </w:p>
          <w:tbl>
            <w:tblPr>
              <w:tblStyle w:val="29"/>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44"/>
              <w:gridCol w:w="1189"/>
              <w:gridCol w:w="5474"/>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43" w:type="dxa"/>
                  <w:gridSpan w:val="3"/>
                  <w:vAlign w:val="center"/>
                </w:tcPr>
                <w:p>
                  <w:pPr>
                    <w:pStyle w:val="107"/>
                    <w:spacing w:line="240" w:lineRule="auto"/>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管控要求</w:t>
                  </w:r>
                </w:p>
              </w:tc>
              <w:tc>
                <w:tcPr>
                  <w:tcW w:w="935" w:type="dxa"/>
                  <w:vAlign w:val="center"/>
                </w:tcPr>
                <w:p>
                  <w:pPr>
                    <w:pStyle w:val="107"/>
                    <w:spacing w:line="240" w:lineRule="auto"/>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9" w:type="dxa"/>
                  <w:vMerge w:val="restart"/>
                  <w:vAlign w:val="center"/>
                </w:tcPr>
                <w:p>
                  <w:pPr>
                    <w:pStyle w:val="107"/>
                    <w:spacing w:line="240" w:lineRule="auto"/>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空间布局约束</w:t>
                  </w:r>
                </w:p>
              </w:tc>
              <w:tc>
                <w:tcPr>
                  <w:tcW w:w="1228" w:type="dxa"/>
                  <w:vAlign w:val="center"/>
                </w:tcPr>
                <w:p>
                  <w:pPr>
                    <w:pStyle w:val="107"/>
                    <w:spacing w:line="240" w:lineRule="auto"/>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禁止开发建设活动的要求</w:t>
                  </w:r>
                </w:p>
              </w:tc>
              <w:tc>
                <w:tcPr>
                  <w:tcW w:w="5656" w:type="dxa"/>
                  <w:vAlign w:val="center"/>
                </w:tcPr>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省</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一般</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土壤优先</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空间布局</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禁止</w:t>
                  </w:r>
                </w:p>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①禁止任何单位和个人在基本农田保护区内建窑、建房、建坟、挖砂、采石、采矿、取土、堆放固体废弃物或者进行其他破坏基本农田的活动；</w:t>
                  </w:r>
                </w:p>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②禁止任何单位和个人占用基本农田发展林果业和挖塘养鱼。</w:t>
                  </w:r>
                </w:p>
                <w:p>
                  <w:pPr>
                    <w:autoSpaceDE w:val="0"/>
                    <w:autoSpaceDN w:val="0"/>
                    <w:adjustRightInd w:val="0"/>
                    <w:spacing w:line="240" w:lineRule="auto"/>
                    <w:jc w:val="left"/>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③禁止生产、销售、</w:t>
                  </w:r>
                  <w:r>
                    <w:rPr>
                      <w:rFonts w:hint="eastAsia"/>
                      <w:color w:val="000000" w:themeColor="text1"/>
                      <w:kern w:val="0"/>
                      <w14:textFill>
                        <w14:solidFill>
                          <w14:schemeClr w14:val="tx1"/>
                        </w14:solidFill>
                      </w14:textFill>
                    </w:rPr>
                    <w:t>使用</w:t>
                  </w:r>
                  <w:r>
                    <w:rPr>
                      <w:rFonts w:hint="eastAsia" w:cs="宋体"/>
                      <w:color w:val="000000" w:themeColor="text1"/>
                      <w:kern w:val="0"/>
                      <w:sz w:val="21"/>
                      <w14:textFill>
                        <w14:solidFill>
                          <w14:schemeClr w14:val="tx1"/>
                        </w14:solidFill>
                      </w14:textFill>
                    </w:rPr>
                    <w:t>国家明令禁止的农业投入品。农业投入品生产者、销售者和使用者应当及时回收农药、肥料等农业投入品的包装废弃物和农用薄膜，并将农药包装废弃物交由专门的机构或者组织进行无害化处理。</w:t>
                  </w:r>
                </w:p>
                <w:p>
                  <w:pPr>
                    <w:pStyle w:val="107"/>
                    <w:spacing w:line="240" w:lineRule="auto"/>
                    <w:jc w:val="both"/>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④禁止在优先保护类耕地周边新建有色金属矿采选、有色金属冶炼、化工、焦化、电镀、电子废物拆解等行业企业。</w:t>
                  </w:r>
                </w:p>
                <w:p>
                  <w:pPr>
                    <w:autoSpaceDE w:val="0"/>
                    <w:autoSpaceDN w:val="0"/>
                    <w:adjustRightInd w:val="0"/>
                    <w:spacing w:line="240" w:lineRule="auto"/>
                    <w:jc w:val="left"/>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⑤在永久基本农田集中区域，不得新建可能造成土壤污染的建设项目。</w:t>
                  </w:r>
                </w:p>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⑥基本农田保护区内禁止下列行为：擅自将耕地改为非耕地</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闲置、荒芜耕地</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建窑、建房、建坟</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擅自挖沙、采石、采矿、取土</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排放污染性的废水、废气，堆放固体废弃物</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向基本农田提供不符合国家有关标准的肥料、农药</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毁坏水利排灌设施</w:t>
                  </w:r>
                  <w:r>
                    <w:rPr>
                      <w:color w:val="000000" w:themeColor="text1"/>
                      <w:kern w:val="0"/>
                      <w14:textFill>
                        <w14:solidFill>
                          <w14:schemeClr w14:val="tx1"/>
                        </w14:solidFill>
                      </w14:textFill>
                    </w:rPr>
                    <w:t>;</w:t>
                  </w:r>
                </w:p>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擅自砍伐农田防护林和水土保持林</w:t>
                  </w:r>
                  <w:r>
                    <w:rPr>
                      <w:rFonts w:hint="eastAsia"/>
                      <w:color w:val="000000" w:themeColor="text1"/>
                      <w:kern w:val="0"/>
                      <w:lang w:eastAsia="zh-CN"/>
                      <w14:textFill>
                        <w14:solidFill>
                          <w14:schemeClr w14:val="tx1"/>
                        </w14:solidFill>
                      </w14:textFill>
                    </w:rPr>
                    <w:t>；</w:t>
                  </w:r>
                  <w:r>
                    <w:rPr>
                      <w:rFonts w:hint="eastAsia"/>
                      <w:color w:val="000000" w:themeColor="text1"/>
                      <w:kern w:val="0"/>
                      <w14:textFill>
                        <w14:solidFill>
                          <w14:schemeClr w14:val="tx1"/>
                        </w14:solidFill>
                      </w14:textFill>
                    </w:rPr>
                    <w:t>破坏或擅自改变基本农田保护区标志</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其他破坏基本农田的行为。</w:t>
                  </w:r>
                </w:p>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⑦在基本农田保护区内不得设立非农业开发区和工业小区。</w:t>
                  </w:r>
                </w:p>
                <w:p>
                  <w:pPr>
                    <w:pStyle w:val="107"/>
                    <w:spacing w:line="240" w:lineRule="auto"/>
                    <w:jc w:val="both"/>
                    <w:rPr>
                      <w:rFonts w:hint="eastAsia" w:ascii="TimesNewRomanPSMT" w:eastAsia="TimesNewRomanPSMT" w:cs="TimesNewRomanPSMT"/>
                      <w:kern w:val="0"/>
                      <w:szCs w:val="21"/>
                    </w:rPr>
                  </w:pPr>
                  <w:r>
                    <w:rPr>
                      <w:rFonts w:hint="eastAsia"/>
                      <w:color w:val="000000" w:themeColor="text1"/>
                      <w:kern w:val="0"/>
                      <w14:textFill>
                        <w14:solidFill>
                          <w14:schemeClr w14:val="tx1"/>
                        </w14:solidFill>
                      </w14:textFill>
                    </w:rPr>
                    <w:t>⑧依法划定特定农产品禁止生产区域，严禁种植食用农产品。</w:t>
                  </w:r>
                </w:p>
              </w:tc>
              <w:tc>
                <w:tcPr>
                  <w:tcW w:w="935" w:type="dxa"/>
                  <w:vAlign w:val="center"/>
                </w:tcPr>
                <w:p>
                  <w:pPr>
                    <w:pStyle w:val="107"/>
                    <w:spacing w:line="240" w:lineRule="auto"/>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项目不涉及基本农田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9" w:type="dxa"/>
                  <w:vMerge w:val="continue"/>
                  <w:vAlign w:val="center"/>
                </w:tcPr>
                <w:p>
                  <w:pPr>
                    <w:pStyle w:val="107"/>
                    <w:spacing w:line="240" w:lineRule="auto"/>
                    <w:rPr>
                      <w:rFonts w:hint="eastAsia"/>
                      <w:color w:val="000000" w:themeColor="text1"/>
                      <w:kern w:val="0"/>
                      <w14:textFill>
                        <w14:solidFill>
                          <w14:schemeClr w14:val="tx1"/>
                        </w14:solidFill>
                      </w14:textFill>
                    </w:rPr>
                  </w:pPr>
                </w:p>
              </w:tc>
              <w:tc>
                <w:tcPr>
                  <w:tcW w:w="1228" w:type="dxa"/>
                  <w:vAlign w:val="center"/>
                </w:tcPr>
                <w:p>
                  <w:pPr>
                    <w:pStyle w:val="107"/>
                    <w:spacing w:line="240" w:lineRule="auto"/>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允许开发建设活动的特殊要求</w:t>
                  </w:r>
                </w:p>
              </w:tc>
              <w:tc>
                <w:tcPr>
                  <w:tcW w:w="5656" w:type="dxa"/>
                  <w:vAlign w:val="center"/>
                </w:tcPr>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省</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一般</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土壤优先</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空间布局</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禁止</w:t>
                  </w:r>
                </w:p>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①高标准农田建设项目向优先保护类耕地集中的地区倾斜。</w:t>
                  </w:r>
                </w:p>
                <w:p>
                  <w:pPr>
                    <w:pStyle w:val="107"/>
                    <w:spacing w:line="240" w:lineRule="auto"/>
                    <w:jc w:val="both"/>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②提倡和鼓励农业生产者对其经营的基本农田施用有机肥料，合理施用化肥和农药。利用基本农田从事农业生产的单位和个人应当保持和培肥地力。</w:t>
                  </w:r>
                </w:p>
              </w:tc>
              <w:tc>
                <w:tcPr>
                  <w:tcW w:w="935" w:type="dxa"/>
                  <w:vAlign w:val="center"/>
                </w:tcPr>
                <w:p>
                  <w:pPr>
                    <w:pStyle w:val="107"/>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9" w:type="dxa"/>
                  <w:vMerge w:val="continue"/>
                  <w:vAlign w:val="center"/>
                </w:tcPr>
                <w:p>
                  <w:pPr>
                    <w:pStyle w:val="107"/>
                    <w:spacing w:line="240" w:lineRule="auto"/>
                    <w:rPr>
                      <w:color w:val="000000" w:themeColor="text1"/>
                      <w:kern w:val="0"/>
                      <w14:textFill>
                        <w14:solidFill>
                          <w14:schemeClr w14:val="tx1"/>
                        </w14:solidFill>
                      </w14:textFill>
                    </w:rPr>
                  </w:pPr>
                </w:p>
              </w:tc>
              <w:tc>
                <w:tcPr>
                  <w:tcW w:w="1228" w:type="dxa"/>
                  <w:vAlign w:val="center"/>
                </w:tcPr>
                <w:p>
                  <w:pPr>
                    <w:pStyle w:val="107"/>
                    <w:spacing w:line="240" w:lineRule="auto"/>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限制开发建设活动的要求</w:t>
                  </w:r>
                </w:p>
              </w:tc>
              <w:tc>
                <w:tcPr>
                  <w:tcW w:w="5656" w:type="dxa"/>
                  <w:vAlign w:val="center"/>
                </w:tcPr>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省</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一般</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土壤优先</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空间布局</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限制</w:t>
                  </w:r>
                </w:p>
                <w:p>
                  <w:pPr>
                    <w:autoSpaceDE w:val="0"/>
                    <w:autoSpaceDN w:val="0"/>
                    <w:adjustRightInd w:val="0"/>
                    <w:spacing w:line="240" w:lineRule="auto"/>
                    <w:jc w:val="left"/>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①实行严格保护，确保其面积不减少、土壤环境质量不下降，除法律规定的重要建设项目选址确实无法避让外，其他任何建设不得占用。</w:t>
                  </w:r>
                </w:p>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②严格控制在优先保护类耕地集中区域新建有色金属冶炼、石油加工、化工、焦化、电镀、制革等行业企业，现有相关行业企业要采用新技术、新工艺，加快提标升级改造步伐。</w:t>
                  </w:r>
                </w:p>
              </w:tc>
              <w:tc>
                <w:tcPr>
                  <w:tcW w:w="935" w:type="dxa"/>
                  <w:vAlign w:val="center"/>
                </w:tcPr>
                <w:p>
                  <w:pPr>
                    <w:pStyle w:val="107"/>
                    <w:spacing w:line="240" w:lineRule="auto"/>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本项目不涉及</w:t>
                  </w:r>
                  <w:r>
                    <w:rPr>
                      <w:rFonts w:hint="eastAsia"/>
                      <w:color w:val="000000" w:themeColor="text1"/>
                      <w:kern w:val="0"/>
                      <w14:textFill>
                        <w14:solidFill>
                          <w14:schemeClr w14:val="tx1"/>
                        </w14:solidFill>
                      </w14:textFill>
                    </w:rPr>
                    <w:t>有色金属冶炼、石油加工、化工、焦化、电镀、制革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9" w:type="dxa"/>
                  <w:vMerge w:val="continue"/>
                  <w:vAlign w:val="center"/>
                </w:tcPr>
                <w:p>
                  <w:pPr>
                    <w:pStyle w:val="107"/>
                    <w:spacing w:line="240" w:lineRule="auto"/>
                    <w:rPr>
                      <w:color w:val="000000" w:themeColor="text1"/>
                      <w:kern w:val="0"/>
                      <w14:textFill>
                        <w14:solidFill>
                          <w14:schemeClr w14:val="tx1"/>
                        </w14:solidFill>
                      </w14:textFill>
                    </w:rPr>
                  </w:pPr>
                </w:p>
              </w:tc>
              <w:tc>
                <w:tcPr>
                  <w:tcW w:w="1228" w:type="dxa"/>
                  <w:vAlign w:val="center"/>
                </w:tcPr>
                <w:p>
                  <w:pPr>
                    <w:pStyle w:val="107"/>
                    <w:spacing w:line="240" w:lineRule="auto"/>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不符合空间布局要求活动的退出要求</w:t>
                  </w:r>
                </w:p>
              </w:tc>
              <w:tc>
                <w:tcPr>
                  <w:tcW w:w="5656" w:type="dxa"/>
                  <w:vAlign w:val="center"/>
                </w:tcPr>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省</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一般</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土壤优先</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空间布局</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退出</w:t>
                  </w:r>
                </w:p>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highlight w:val="none"/>
                      <w14:textFill>
                        <w14:solidFill>
                          <w14:schemeClr w14:val="tx1"/>
                        </w14:solidFill>
                      </w14:textFill>
                    </w:rPr>
                    <w:t>①在永久基本农田集中区域，已建成可能造成土壤污染的建设项目，应当限期关闭拆除。</w:t>
                  </w:r>
                </w:p>
              </w:tc>
              <w:tc>
                <w:tcPr>
                  <w:tcW w:w="935" w:type="dxa"/>
                  <w:vMerge w:val="restart"/>
                  <w:vAlign w:val="center"/>
                </w:tcPr>
                <w:p>
                  <w:pPr>
                    <w:pStyle w:val="107"/>
                    <w:spacing w:line="240" w:lineRule="auto"/>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9" w:type="dxa"/>
                  <w:vMerge w:val="continue"/>
                  <w:vAlign w:val="center"/>
                </w:tcPr>
                <w:p>
                  <w:pPr>
                    <w:pStyle w:val="107"/>
                    <w:spacing w:line="240" w:lineRule="auto"/>
                    <w:rPr>
                      <w:color w:val="000000" w:themeColor="text1"/>
                      <w:kern w:val="0"/>
                      <w14:textFill>
                        <w14:solidFill>
                          <w14:schemeClr w14:val="tx1"/>
                        </w14:solidFill>
                      </w14:textFill>
                    </w:rPr>
                  </w:pPr>
                </w:p>
              </w:tc>
              <w:tc>
                <w:tcPr>
                  <w:tcW w:w="1228" w:type="dxa"/>
                  <w:vAlign w:val="center"/>
                </w:tcPr>
                <w:p>
                  <w:pPr>
                    <w:pStyle w:val="107"/>
                    <w:spacing w:line="240" w:lineRule="auto"/>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其他空间布局约束要求</w:t>
                  </w:r>
                </w:p>
              </w:tc>
              <w:tc>
                <w:tcPr>
                  <w:tcW w:w="5656" w:type="dxa"/>
                  <w:vAlign w:val="center"/>
                </w:tcPr>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省</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一般</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土壤优先</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空间布局</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其他</w:t>
                  </w:r>
                </w:p>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①禁止任何单位和个人闲置、荒芜基本农田。</w:t>
                  </w:r>
                </w:p>
              </w:tc>
              <w:tc>
                <w:tcPr>
                  <w:tcW w:w="935" w:type="dxa"/>
                  <w:vMerge w:val="continue"/>
                  <w:vAlign w:val="center"/>
                </w:tcPr>
                <w:p>
                  <w:pPr>
                    <w:pStyle w:val="107"/>
                    <w:spacing w:line="240" w:lineRule="auto"/>
                    <w:rPr>
                      <w:color w:val="000000" w:themeColor="text1"/>
                      <w:kern w:val="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687" w:type="dxa"/>
                  <w:gridSpan w:val="2"/>
                  <w:vAlign w:val="center"/>
                </w:tcPr>
                <w:p>
                  <w:pPr>
                    <w:pStyle w:val="107"/>
                    <w:spacing w:line="240" w:lineRule="auto"/>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环境风险防控</w:t>
                  </w:r>
                </w:p>
              </w:tc>
              <w:tc>
                <w:tcPr>
                  <w:tcW w:w="5656" w:type="dxa"/>
                  <w:vAlign w:val="center"/>
                </w:tcPr>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省</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一般</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土壤优先</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风险</w:t>
                  </w:r>
                </w:p>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①推行秸秆还田、增施有机肥、少耕免耕、粮豆轮作、农膜减量与回收利用等措施</w:t>
                  </w:r>
                </w:p>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②农村土地流转的受让方要履行土壤保护的责任，避免因过度施肥、滥用农药等掠夺式农业生产方式造成土壤环境质量</w:t>
                  </w:r>
                </w:p>
                <w:p>
                  <w:pPr>
                    <w:pStyle w:val="107"/>
                    <w:spacing w:line="240" w:lineRule="auto"/>
                    <w:jc w:val="both"/>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下降。</w:t>
                  </w:r>
                </w:p>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③对难以有效切断重金属污染途径，且土壤重金属污染严重、农产品重金属超标问题突出的耕地，要及时划入严格管控类，实施严格管控措施，降低农产品镉等重金属超标风险。</w:t>
                  </w:r>
                </w:p>
              </w:tc>
              <w:tc>
                <w:tcPr>
                  <w:tcW w:w="935" w:type="dxa"/>
                  <w:vAlign w:val="center"/>
                </w:tcPr>
                <w:p>
                  <w:pPr>
                    <w:pStyle w:val="107"/>
                    <w:spacing w:line="240" w:lineRule="auto"/>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687" w:type="dxa"/>
                  <w:gridSpan w:val="2"/>
                  <w:vAlign w:val="center"/>
                </w:tcPr>
                <w:p>
                  <w:pPr>
                    <w:pStyle w:val="107"/>
                    <w:spacing w:line="240" w:lineRule="auto"/>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其他一般管控单元</w:t>
                  </w:r>
                </w:p>
              </w:tc>
              <w:tc>
                <w:tcPr>
                  <w:tcW w:w="5656" w:type="dxa"/>
                  <w:vAlign w:val="center"/>
                </w:tcPr>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省</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一般</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其他</w:t>
                  </w:r>
                </w:p>
                <w:p>
                  <w:pPr>
                    <w:pStyle w:val="107"/>
                    <w:spacing w:line="240" w:lineRule="auto"/>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①一般管控单元内，执行现有法律法规和政策文件</w:t>
                  </w:r>
                </w:p>
              </w:tc>
              <w:tc>
                <w:tcPr>
                  <w:tcW w:w="935" w:type="dxa"/>
                  <w:vAlign w:val="center"/>
                </w:tcPr>
                <w:p>
                  <w:pPr>
                    <w:pStyle w:val="107"/>
                    <w:spacing w:line="240" w:lineRule="auto"/>
                    <w:rPr>
                      <w:color w:val="000000" w:themeColor="text1"/>
                      <w:kern w:val="0"/>
                      <w14:textFill>
                        <w14:solidFill>
                          <w14:schemeClr w14:val="tx1"/>
                        </w14:solidFill>
                      </w14:textFill>
                    </w:rPr>
                  </w:pPr>
                </w:p>
              </w:tc>
            </w:tr>
          </w:tbl>
          <w:p>
            <w:r>
              <w:rPr>
                <w:sz w:val="20"/>
              </w:rPr>
              <mc:AlternateContent>
                <mc:Choice Requires="wps">
                  <w:drawing>
                    <wp:anchor distT="0" distB="0" distL="114300" distR="114300" simplePos="0" relativeHeight="251662336" behindDoc="0" locked="0" layoutInCell="1" allowOverlap="1">
                      <wp:simplePos x="0" y="0"/>
                      <wp:positionH relativeFrom="column">
                        <wp:posOffset>2924175</wp:posOffset>
                      </wp:positionH>
                      <wp:positionV relativeFrom="paragraph">
                        <wp:posOffset>749300</wp:posOffset>
                      </wp:positionV>
                      <wp:extent cx="768985" cy="302260"/>
                      <wp:effectExtent l="4445" t="4445" r="7620" b="398145"/>
                      <wp:wrapNone/>
                      <wp:docPr id="8" name="矩形标注 8"/>
                      <wp:cNvGraphicFramePr/>
                      <a:graphic xmlns:a="http://schemas.openxmlformats.org/drawingml/2006/main">
                        <a:graphicData uri="http://schemas.microsoft.com/office/word/2010/wordprocessingShape">
                          <wps:wsp>
                            <wps:cNvSpPr/>
                            <wps:spPr>
                              <a:xfrm>
                                <a:off x="0" y="0"/>
                                <a:ext cx="768985" cy="302260"/>
                              </a:xfrm>
                              <a:prstGeom prst="wedgeRectCallout">
                                <a:avLst>
                                  <a:gd name="adj1" fmla="val -45046"/>
                                  <a:gd name="adj2" fmla="val 172477"/>
                                </a:avLst>
                              </a:prstGeom>
                              <a:noFill/>
                              <a:ln w="9525" cap="flat" cmpd="sng">
                                <a:solidFill>
                                  <a:srgbClr val="1F497D"/>
                                </a:solidFill>
                                <a:prstDash val="solid"/>
                                <a:miter/>
                                <a:headEnd type="none" w="med" len="med"/>
                                <a:tailEnd type="none" w="med" len="med"/>
                              </a:ln>
                            </wps:spPr>
                            <wps:txbx>
                              <w:txbxContent>
                                <w:p>
                                  <w:pPr>
                                    <w:rPr>
                                      <w:rFonts w:hint="eastAsia" w:ascii="宋体" w:hAnsi="宋体" w:eastAsia="宋体" w:cs="宋体"/>
                                      <w:b/>
                                      <w:bCs/>
                                      <w:lang w:eastAsia="zh-CN"/>
                                    </w:rPr>
                                  </w:pPr>
                                  <w:r>
                                    <w:rPr>
                                      <w:rFonts w:hint="eastAsia" w:ascii="宋体" w:hAnsi="宋体" w:eastAsia="宋体" w:cs="宋体"/>
                                      <w:b/>
                                      <w:bCs/>
                                      <w:lang w:eastAsia="zh-CN"/>
                                    </w:rPr>
                                    <w:t>项目位置</w:t>
                                  </w:r>
                                </w:p>
                              </w:txbxContent>
                            </wps:txbx>
                            <wps:bodyPr upright="1"/>
                          </wps:wsp>
                        </a:graphicData>
                      </a:graphic>
                    </wp:anchor>
                  </w:drawing>
                </mc:Choice>
                <mc:Fallback>
                  <w:pict>
                    <v:shape id="_x0000_s1026" o:spid="_x0000_s1026" o:spt="61" type="#_x0000_t61" style="position:absolute;left:0pt;margin-left:230.25pt;margin-top:59pt;height:23.8pt;width:60.55pt;z-index:251662336;mso-width-relative:page;mso-height-relative:page;" filled="f" stroked="t" coordsize="21600,21600" o:gfxdata="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Lkqvs2QAAAAsBAAAPAAAAAAAAAAEAIAAAACIAAABkcnMvZG93bnJl&#10;di54bWxQSwECFAAUAAAACACHTuJASvNZ3zUCAABkBAAADgAAAAAAAAABACAAAAAoAQAAZHJzL2Uy&#10;b0RvYy54bWxQSwUGAAAAAAYABgBZAQAAzwUAAAAA&#10;" adj="1070,48055">
                      <v:fill on="f" focussize="0,0"/>
                      <v:stroke color="#1F497D" joinstyle="miter"/>
                      <v:imagedata o:title=""/>
                      <o:lock v:ext="edit" aspectratio="f"/>
                      <v:textbox>
                        <w:txbxContent>
                          <w:p>
                            <w:pPr>
                              <w:rPr>
                                <w:rFonts w:hint="eastAsia" w:ascii="宋体" w:hAnsi="宋体" w:eastAsia="宋体" w:cs="宋体"/>
                                <w:b/>
                                <w:bCs/>
                                <w:lang w:eastAsia="zh-CN"/>
                              </w:rPr>
                            </w:pPr>
                            <w:r>
                              <w:rPr>
                                <w:rFonts w:hint="eastAsia" w:ascii="宋体" w:hAnsi="宋体" w:eastAsia="宋体" w:cs="宋体"/>
                                <w:b/>
                                <w:bCs/>
                                <w:lang w:eastAsia="zh-CN"/>
                              </w:rPr>
                              <w:t>项目位置</w:t>
                            </w:r>
                          </w:p>
                        </w:txbxContent>
                      </v:textbox>
                    </v:shape>
                  </w:pict>
                </mc:Fallback>
              </mc:AlternateContent>
            </w:r>
            <w:r>
              <w:rPr>
                <w:rFonts w:hint="eastAsia" w:eastAsia="宋体"/>
                <w:lang w:eastAsia="zh-CN"/>
              </w:rPr>
              <w:drawing>
                <wp:inline distT="0" distB="0" distL="114300" distR="114300">
                  <wp:extent cx="5142865" cy="2426970"/>
                  <wp:effectExtent l="0" t="0" r="635" b="11430"/>
                  <wp:docPr id="6" name="图片 6" descr="QQ截图2023101621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231016215605"/>
                          <pic:cNvPicPr>
                            <a:picLocks noChangeAspect="1"/>
                          </pic:cNvPicPr>
                        </pic:nvPicPr>
                        <pic:blipFill>
                          <a:blip r:embed="rId11"/>
                          <a:stretch>
                            <a:fillRect/>
                          </a:stretch>
                        </pic:blipFill>
                        <pic:spPr>
                          <a:xfrm>
                            <a:off x="0" y="0"/>
                            <a:ext cx="5142865" cy="24269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80" w:line="468" w:lineRule="exact"/>
              <w:ind w:left="0"/>
              <w:jc w:val="center"/>
              <w:textAlignment w:val="auto"/>
              <w:rPr>
                <w:rFonts w:hint="default" w:ascii="宋体" w:hAnsi="宋体" w:eastAsia="宋体" w:cs="宋体"/>
                <w:spacing w:val="-1"/>
                <w:position w:val="17"/>
                <w:sz w:val="24"/>
                <w:szCs w:val="24"/>
                <w:lang w:val="en-US" w:eastAsia="zh-CN"/>
                <w14:textOutline w14:w="4356" w14:cap="flat" w14:cmpd="sng">
                  <w14:solidFill>
                    <w14:srgbClr w14:val="000000"/>
                  </w14:solidFill>
                  <w14:prstDash w14:val="solid"/>
                  <w14:miter w14:val="0"/>
                </w14:textOutline>
              </w:rPr>
            </w:pPr>
            <w:r>
              <w:rPr>
                <w:rFonts w:hint="eastAsia" w:ascii="宋体" w:hAnsi="宋体" w:cs="宋体"/>
                <w:b/>
                <w:bCs/>
                <w:color w:val="auto"/>
                <w:kern w:val="2"/>
                <w:sz w:val="24"/>
                <w:szCs w:val="22"/>
                <w:lang w:val="en-US" w:eastAsia="zh-CN" w:bidi="ar-SA"/>
              </w:rPr>
              <w:t>2</w:t>
            </w:r>
            <w:r>
              <w:rPr>
                <w:rFonts w:hint="eastAsia" w:ascii="宋体" w:hAnsi="宋体" w:eastAsia="宋体" w:cs="宋体"/>
                <w:b/>
                <w:bCs/>
                <w:color w:val="auto"/>
                <w:kern w:val="2"/>
                <w:sz w:val="24"/>
                <w:szCs w:val="22"/>
                <w:lang w:val="en-US" w:eastAsia="zh-CN" w:bidi="ar-SA"/>
              </w:rPr>
              <w:t xml:space="preserve"> 、与《关于推动铸造和锻压行业高质量发展的指导意见》工信部联通装【2023】40号符合性分析</w:t>
            </w:r>
            <w:r>
              <w:rPr>
                <w:rFonts w:hint="eastAsia" w:ascii="宋体" w:hAnsi="宋体" w:eastAsia="宋体" w:cs="宋体"/>
                <w:spacing w:val="-1"/>
                <w:position w:val="17"/>
                <w:sz w:val="24"/>
                <w:szCs w:val="24"/>
                <w:lang w:val="en-US" w:eastAsia="zh-CN"/>
                <w14:textOutline w14:w="4356" w14:cap="flat" w14:cmpd="sng">
                  <w14:solidFill>
                    <w14:srgbClr w14:val="000000"/>
                  </w14:solidFill>
                  <w14:prstDash w14:val="solid"/>
                  <w14:miter w14:val="0"/>
                </w14:textOutline>
              </w:rPr>
              <w:br w:type="textWrapping"/>
            </w:r>
            <w:r>
              <w:rPr>
                <w:rFonts w:hint="eastAsia" w:ascii="Times New Roman" w:hAnsi="Times New Roman" w:eastAsia="宋体" w:cs="宋体"/>
                <w:b/>
                <w:bCs/>
                <w:color w:val="000000" w:themeColor="text1"/>
                <w:kern w:val="2"/>
                <w:sz w:val="21"/>
                <w:szCs w:val="24"/>
                <w:lang w:val="en-US" w:eastAsia="zh-CN" w:bidi="ar-SA"/>
                <w14:textFill>
                  <w14:solidFill>
                    <w14:schemeClr w14:val="tx1"/>
                  </w14:solidFill>
                </w14:textFill>
              </w:rPr>
              <w:t>表1-2  与《关于推动铸造和锻压行业高质量发展的指导意见》符合性分析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8"/>
              <w:gridCol w:w="2355"/>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8" w:type="dxa"/>
                  <w:vAlign w:val="top"/>
                </w:tcPr>
                <w:p>
                  <w:pPr>
                    <w:pStyle w:val="44"/>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与本项目相关的要求</w:t>
                  </w:r>
                </w:p>
              </w:tc>
              <w:tc>
                <w:tcPr>
                  <w:tcW w:w="2355" w:type="dxa"/>
                </w:tcPr>
                <w:p>
                  <w:pPr>
                    <w:pStyle w:val="44"/>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本项目情况</w:t>
                  </w:r>
                </w:p>
              </w:tc>
              <w:tc>
                <w:tcPr>
                  <w:tcW w:w="1110" w:type="dxa"/>
                </w:tcPr>
                <w:p>
                  <w:pPr>
                    <w:pStyle w:val="44"/>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8" w:type="dxa"/>
                  <w:vAlign w:val="top"/>
                </w:tcPr>
                <w:p>
                  <w:pPr>
                    <w:pStyle w:val="44"/>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铸造企业不得采用无芯工频感应电炉、无磁轭（≥0.25 吨）铝壳中频感应电炉、水玻璃熔模精密铸造氯化铵硬化模壳、铝合金六氯乙烷精炼等淘汰类工艺和装备。</w:t>
                  </w:r>
                </w:p>
              </w:tc>
              <w:tc>
                <w:tcPr>
                  <w:tcW w:w="2355" w:type="dxa"/>
                  <w:vAlign w:val="center"/>
                </w:tcPr>
                <w:p>
                  <w:pPr>
                    <w:pStyle w:val="44"/>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本项目中频感应电炉为钢壳</w:t>
                  </w:r>
                </w:p>
              </w:tc>
              <w:tc>
                <w:tcPr>
                  <w:tcW w:w="1110" w:type="dxa"/>
                  <w:vAlign w:val="center"/>
                </w:tcPr>
                <w:p>
                  <w:pPr>
                    <w:pStyle w:val="44"/>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8" w:type="dxa"/>
                </w:tcPr>
                <w:p>
                  <w:pPr>
                    <w:pStyle w:val="44"/>
                    <w:spacing w:line="240" w:lineRule="auto"/>
                    <w:jc w:val="left"/>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铸造企业严格执行《铸造工业大气污染物排放标准》（GB 39726）及地方排放标准，加强无组织排放控制，不能稳定达标排放的，限期完成设施升级改造，不具备改造条件及改造后仍不能达标的，依法依规进行淘汰。</w:t>
                  </w:r>
                </w:p>
              </w:tc>
              <w:tc>
                <w:tcPr>
                  <w:tcW w:w="2355" w:type="dxa"/>
                  <w:vAlign w:val="center"/>
                </w:tcPr>
                <w:p>
                  <w:pPr>
                    <w:pStyle w:val="44"/>
                    <w:spacing w:line="240" w:lineRule="auto"/>
                    <w:jc w:val="left"/>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本项目废气</w:t>
                  </w:r>
                  <w:r>
                    <w:rPr>
                      <w:rFonts w:hint="default" w:ascii="Times New Roman" w:hAnsi="Times New Roman" w:eastAsia="宋体" w:cs="Times New Roman"/>
                      <w:b w:val="0"/>
                      <w:bCs/>
                      <w:color w:val="auto"/>
                      <w:sz w:val="21"/>
                      <w:szCs w:val="21"/>
                      <w:lang w:val="en-US" w:eastAsia="zh-CN"/>
                    </w:rPr>
                    <w:t>执行《铸造工业大气污染物排放标准》（GB 39726</w:t>
                  </w:r>
                  <w:r>
                    <w:rPr>
                      <w:rFonts w:hint="eastAsia" w:ascii="Times New Roman" w:hAnsi="Times New Roman" w:cs="Times New Roman"/>
                      <w:b w:val="0"/>
                      <w:bCs/>
                      <w:color w:val="auto"/>
                      <w:sz w:val="21"/>
                      <w:szCs w:val="21"/>
                      <w:lang w:val="en-US" w:eastAsia="zh-CN"/>
                    </w:rPr>
                    <w:t>-2020</w:t>
                  </w:r>
                  <w:r>
                    <w:rPr>
                      <w:rFonts w:hint="default" w:ascii="Times New Roman" w:hAnsi="Times New Roman" w:eastAsia="宋体" w:cs="Times New Roman"/>
                      <w:b w:val="0"/>
                      <w:bCs/>
                      <w:color w:val="auto"/>
                      <w:sz w:val="21"/>
                      <w:szCs w:val="21"/>
                      <w:lang w:val="en-US" w:eastAsia="zh-CN"/>
                    </w:rPr>
                    <w:t>）</w:t>
                  </w:r>
                  <w:r>
                    <w:rPr>
                      <w:rFonts w:hint="eastAsia" w:ascii="Times New Roman" w:hAnsi="Times New Roman" w:cs="Times New Roman"/>
                      <w:b w:val="0"/>
                      <w:bCs/>
                      <w:color w:val="auto"/>
                      <w:sz w:val="21"/>
                      <w:szCs w:val="21"/>
                      <w:lang w:val="en-US" w:eastAsia="zh-CN"/>
                    </w:rPr>
                    <w:t>，目前正在进行设施的升级改造，预计3个月内完成整改，整改后可稳定达标排放。</w:t>
                  </w:r>
                </w:p>
              </w:tc>
              <w:tc>
                <w:tcPr>
                  <w:tcW w:w="1110" w:type="dxa"/>
                  <w:vAlign w:val="center"/>
                </w:tcPr>
                <w:p>
                  <w:pPr>
                    <w:spacing w:before="180" w:line="468" w:lineRule="exact"/>
                    <w:jc w:val="center"/>
                    <w:rPr>
                      <w:rFonts w:hint="default" w:ascii="宋体" w:hAnsi="宋体" w:eastAsia="宋体" w:cs="宋体"/>
                      <w:spacing w:val="-1"/>
                      <w:position w:val="17"/>
                      <w:sz w:val="24"/>
                      <w:szCs w:val="24"/>
                      <w:vertAlign w:val="baseline"/>
                      <w:lang w:val="en-US" w:eastAsia="zh-CN"/>
                      <w14:textOutline w14:w="4356" w14:cap="flat" w14:cmpd="sng">
                        <w14:solidFill>
                          <w14:srgbClr w14:val="000000"/>
                        </w14:solidFill>
                        <w14:prstDash w14:val="solid"/>
                        <w14:miter w14:val="0"/>
                      </w14:textOutline>
                    </w:rPr>
                  </w:pPr>
                  <w:r>
                    <w:rPr>
                      <w:rFonts w:hint="eastAsia" w:ascii="Times New Roman" w:hAnsi="Times New Roman" w:eastAsia="宋体" w:cs="Times New Roman"/>
                      <w:b w:val="0"/>
                      <w:bCs/>
                      <w:color w:val="auto"/>
                      <w:sz w:val="21"/>
                      <w:szCs w:val="21"/>
                      <w:lang w:val="en-US" w:eastAsia="zh-CN"/>
                    </w:rPr>
                    <w:t>符合</w:t>
                  </w:r>
                </w:p>
              </w:tc>
            </w:tr>
          </w:tbl>
          <w:p>
            <w:pPr>
              <w:spacing w:before="180" w:line="468" w:lineRule="exact"/>
              <w:rPr>
                <w:rFonts w:hint="default" w:ascii="宋体" w:hAnsi="宋体" w:eastAsia="宋体" w:cs="宋体"/>
                <w:spacing w:val="-1"/>
                <w:position w:val="17"/>
                <w:sz w:val="24"/>
                <w:szCs w:val="24"/>
                <w:lang w:val="en-US" w:eastAsia="zh-CN"/>
                <w14:textOutline w14:w="4356" w14:cap="flat" w14:cmpd="sng">
                  <w14:solidFill>
                    <w14:srgbClr w14:val="000000"/>
                  </w14:solidFill>
                  <w14:prstDash w14:val="solid"/>
                  <w14:miter w14:val="0"/>
                </w14:textOutline>
              </w:rPr>
            </w:pPr>
          </w:p>
          <w:p>
            <w:pPr>
              <w:spacing w:before="180" w:line="468" w:lineRule="exact"/>
              <w:ind w:left="111"/>
              <w:rPr>
                <w:rFonts w:hint="default" w:ascii="宋体" w:hAnsi="宋体" w:eastAsia="宋体" w:cs="宋体"/>
                <w:spacing w:val="-1"/>
                <w:position w:val="17"/>
                <w:sz w:val="24"/>
                <w:szCs w:val="24"/>
                <w:lang w:val="en-US" w:eastAsia="zh-CN"/>
                <w14:textOutline w14:w="4356" w14:cap="flat" w14:cmpd="sng">
                  <w14:solidFill>
                    <w14:srgbClr w14:val="000000"/>
                  </w14:solidFill>
                  <w14:prstDash w14:val="solid"/>
                  <w14:miter w14:val="0"/>
                </w14:textOutline>
              </w:rPr>
            </w:pPr>
          </w:p>
          <w:p>
            <w:pPr>
              <w:pStyle w:val="72"/>
              <w:keepNext w:val="0"/>
              <w:keepLines w:val="0"/>
              <w:pageBreakBefore w:val="0"/>
              <w:widowControl/>
              <w:kinsoku/>
              <w:wordWrap/>
              <w:overflowPunct/>
              <w:topLinePunct w:val="0"/>
              <w:autoSpaceDE/>
              <w:autoSpaceDN/>
              <w:bidi w:val="0"/>
              <w:adjustRightInd/>
              <w:snapToGrid/>
              <w:spacing w:line="20" w:lineRule="exact"/>
              <w:ind w:left="0" w:leftChars="0" w:firstLine="0" w:firstLineChars="0"/>
              <w:jc w:val="both"/>
              <w:textAlignment w:val="auto"/>
              <w:rPr>
                <w:rFonts w:hint="eastAsia" w:ascii="Times New Roman" w:hAnsi="Times New Roman" w:cs="Times New Roman"/>
                <w:b/>
                <w:bCs/>
                <w:color w:val="auto"/>
                <w:kern w:val="0"/>
                <w:szCs w:val="24"/>
                <w:u w:val="none"/>
                <w:lang w:eastAsia="zh-CN"/>
              </w:rPr>
            </w:pPr>
          </w:p>
        </w:tc>
      </w:tr>
    </w:tbl>
    <w:p>
      <w:pPr>
        <w:keepNext w:val="0"/>
        <w:keepLines w:val="0"/>
        <w:pageBreakBefore w:val="0"/>
        <w:widowControl w:val="0"/>
        <w:kinsoku/>
        <w:wordWrap/>
        <w:overflowPunct/>
        <w:topLinePunct w:val="0"/>
        <w:autoSpaceDE/>
        <w:autoSpaceDN/>
        <w:bidi w:val="0"/>
        <w:adjustRightInd/>
        <w:snapToGrid/>
        <w:spacing w:line="20" w:lineRule="exact"/>
        <w:textAlignment w:val="auto"/>
        <w:outlineLvl w:val="0"/>
        <w:rPr>
          <w:rFonts w:eastAsia="黑体"/>
          <w:sz w:val="30"/>
        </w:rPr>
        <w:sectPr>
          <w:headerReference r:id="rId6" w:type="default"/>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rtlGutter w:val="0"/>
          <w:docGrid w:type="lines" w:linePitch="312" w:charSpace="0"/>
        </w:sectPr>
      </w:pP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jc w:val="center"/>
        <w:textAlignment w:val="auto"/>
        <w:rPr>
          <w:rFonts w:ascii="黑体" w:hAnsi="黑体" w:eastAsia="黑体"/>
          <w:snapToGrid w:val="0"/>
          <w:sz w:val="36"/>
          <w:szCs w:val="36"/>
        </w:rPr>
      </w:pPr>
    </w:p>
    <w:p>
      <w:pPr>
        <w:pStyle w:val="2"/>
        <w:bidi w:val="0"/>
        <w:rPr>
          <w:rFonts w:hint="eastAsia"/>
          <w:lang w:eastAsia="zh-CN"/>
        </w:rPr>
      </w:pPr>
      <w:bookmarkStart w:id="6" w:name="_Toc28509"/>
      <w:bookmarkStart w:id="7" w:name="_Toc18627"/>
      <w:r>
        <w:rPr>
          <w:rFonts w:hint="eastAsia"/>
          <w:lang w:eastAsia="zh-CN"/>
        </w:rPr>
        <w:t>二</w:t>
      </w:r>
      <w:r>
        <w:rPr>
          <w:rFonts w:hint="eastAsia"/>
        </w:rPr>
        <w:t>、建设项目</w:t>
      </w:r>
      <w:r>
        <w:rPr>
          <w:rFonts w:hint="eastAsia"/>
          <w:lang w:eastAsia="zh-CN"/>
        </w:rPr>
        <w:t>工程分析</w:t>
      </w:r>
      <w:bookmarkEnd w:id="6"/>
      <w:bookmarkEnd w:id="7"/>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43" w:hRule="atLeast"/>
          <w:jc w:val="center"/>
        </w:trPr>
        <w:tc>
          <w:tcPr>
            <w:tcW w:w="823" w:type="dxa"/>
            <w:noWrap w:val="0"/>
            <w:vAlign w:val="center"/>
          </w:tcPr>
          <w:p>
            <w:pPr>
              <w:pStyle w:val="24"/>
              <w:adjustRightInd w:val="0"/>
              <w:snapToGrid w:val="0"/>
              <w:spacing w:before="0" w:beforeAutospacing="0" w:after="0" w:afterAutospacing="0"/>
              <w:jc w:val="center"/>
              <w:rPr>
                <w:rFonts w:cs="宋体"/>
                <w:sz w:val="24"/>
                <w:szCs w:val="24"/>
              </w:rPr>
            </w:pPr>
            <w:r>
              <w:rPr>
                <w:rFonts w:hint="eastAsia" w:cs="宋体"/>
                <w:sz w:val="24"/>
                <w:szCs w:val="24"/>
              </w:rPr>
              <w:t>建设内容</w:t>
            </w:r>
          </w:p>
        </w:tc>
        <w:tc>
          <w:tcPr>
            <w:tcW w:w="8161" w:type="dxa"/>
            <w:noWrap w:val="0"/>
            <w:vAlign w:val="top"/>
          </w:tcPr>
          <w:p>
            <w:pPr>
              <w:pStyle w:val="72"/>
              <w:bidi w:val="0"/>
              <w:rPr>
                <w:rFonts w:hint="default"/>
                <w:b/>
                <w:bCs/>
                <w:color w:val="auto"/>
                <w:lang w:val="en-US" w:eastAsia="zh-CN"/>
              </w:rPr>
            </w:pPr>
            <w:r>
              <w:rPr>
                <w:rFonts w:hint="eastAsia"/>
                <w:b/>
                <w:bCs/>
                <w:color w:val="auto"/>
                <w:lang w:val="en-US" w:eastAsia="zh-CN"/>
              </w:rPr>
              <w:t>1 、项目背景</w:t>
            </w:r>
          </w:p>
          <w:p>
            <w:pPr>
              <w:pStyle w:val="72"/>
              <w:keepNext w:val="0"/>
              <w:keepLines w:val="0"/>
              <w:pageBreakBefore w:val="0"/>
              <w:kinsoku/>
              <w:wordWrap/>
              <w:overflowPunct/>
              <w:topLinePunct w:val="0"/>
              <w:autoSpaceDE/>
              <w:autoSpaceDN/>
              <w:bidi w:val="0"/>
              <w:adjustRightInd w:val="0"/>
              <w:snapToGrid w:val="0"/>
              <w:textAlignment w:val="auto"/>
              <w:rPr>
                <w:rFonts w:hint="eastAsia"/>
                <w:b w:val="0"/>
                <w:bCs w:val="0"/>
                <w:color w:val="auto"/>
                <w:lang w:val="en-US" w:eastAsia="zh-CN"/>
              </w:rPr>
            </w:pPr>
            <w:r>
              <w:rPr>
                <w:rFonts w:hint="eastAsia"/>
                <w:b w:val="0"/>
                <w:bCs w:val="0"/>
                <w:color w:val="auto"/>
                <w:lang w:val="en-US" w:eastAsia="zh-CN"/>
              </w:rPr>
              <w:t>六安市盈瑞机械有限公司位于六安市金安区翁墩乡红桥村，占地面积2415m</w:t>
            </w:r>
            <w:r>
              <w:rPr>
                <w:rFonts w:hint="eastAsia"/>
                <w:b w:val="0"/>
                <w:bCs w:val="0"/>
                <w:color w:val="auto"/>
                <w:vertAlign w:val="superscript"/>
                <w:lang w:val="en-US" w:eastAsia="zh-CN"/>
              </w:rPr>
              <w:t>2</w:t>
            </w:r>
            <w:r>
              <w:rPr>
                <w:rFonts w:hint="eastAsia"/>
                <w:b w:val="0"/>
                <w:bCs w:val="0"/>
                <w:color w:val="auto"/>
                <w:lang w:val="en-US" w:eastAsia="zh-CN"/>
              </w:rPr>
              <w:t>，于2013年初建成1栋建筑面积为1657.5m</w:t>
            </w:r>
            <w:r>
              <w:rPr>
                <w:rFonts w:hint="eastAsia"/>
                <w:b w:val="0"/>
                <w:bCs w:val="0"/>
                <w:color w:val="auto"/>
                <w:vertAlign w:val="superscript"/>
                <w:lang w:val="en-US" w:eastAsia="zh-CN"/>
              </w:rPr>
              <w:t>2</w:t>
            </w:r>
            <w:r>
              <w:rPr>
                <w:rFonts w:hint="eastAsia"/>
                <w:b w:val="0"/>
                <w:bCs w:val="0"/>
                <w:color w:val="auto"/>
                <w:lang w:val="en-US" w:eastAsia="zh-CN"/>
              </w:rPr>
              <w:t>的生产车间，由于市场等因素，长期处于停产状态，现为了盘活“电机、汽车配件生产项目”，六安市盈瑞机械有限公司于2023年10月11日委托我公司承担该项目环境影响评价报告表编制工作，</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根据《国民经济行业分类》（GB/T 4754-2017)，本项目属于 C </w:t>
            </w:r>
            <w:r>
              <w:rPr>
                <w:rFonts w:hint="eastAsia" w:cs="Times New Roman"/>
                <w:color w:val="auto"/>
                <w:sz w:val="24"/>
                <w:lang w:val="en-US" w:eastAsia="zh-CN"/>
              </w:rPr>
              <w:t>3391</w:t>
            </w:r>
            <w:r>
              <w:rPr>
                <w:rFonts w:hint="eastAsia" w:ascii="Times New Roman" w:hAnsi="Times New Roman" w:eastAsia="宋体" w:cs="Times New Roman"/>
                <w:color w:val="auto"/>
                <w:sz w:val="24"/>
                <w:lang w:val="en-US" w:eastAsia="zh-CN"/>
              </w:rPr>
              <w:t>黑色金属铸造</w:t>
            </w:r>
            <w:r>
              <w:rPr>
                <w:rFonts w:hint="default" w:ascii="Times New Roman" w:hAnsi="Times New Roman" w:eastAsia="宋体" w:cs="Times New Roman"/>
                <w:color w:val="auto"/>
                <w:sz w:val="24"/>
              </w:rPr>
              <w:t>。</w:t>
            </w:r>
          </w:p>
          <w:p>
            <w:pPr>
              <w:autoSpaceDE w:val="0"/>
              <w:autoSpaceDN w:val="0"/>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cs="Times New Roman"/>
                <w:b/>
                <w:bCs/>
                <w:color w:val="auto"/>
                <w:kern w:val="0"/>
                <w:szCs w:val="21"/>
                <w:lang w:val="en-US" w:eastAsia="zh-CN"/>
              </w:rPr>
              <w:t>2</w:t>
            </w:r>
            <w:r>
              <w:rPr>
                <w:rFonts w:hint="default" w:ascii="Times New Roman" w:hAnsi="Times New Roman" w:eastAsia="宋体" w:cs="Times New Roman"/>
                <w:b/>
                <w:bCs/>
                <w:color w:val="auto"/>
                <w:kern w:val="0"/>
                <w:szCs w:val="21"/>
              </w:rPr>
              <w:t>-</w:t>
            </w:r>
            <w:r>
              <w:rPr>
                <w:rFonts w:hint="eastAsia" w:cs="Times New Roman"/>
                <w:b/>
                <w:bCs/>
                <w:color w:val="auto"/>
                <w:kern w:val="0"/>
                <w:szCs w:val="21"/>
                <w:lang w:val="en-US" w:eastAsia="zh-CN"/>
              </w:rPr>
              <w:t>1</w:t>
            </w:r>
            <w:r>
              <w:rPr>
                <w:rFonts w:hint="default" w:ascii="Times New Roman" w:hAnsi="Times New Roman" w:eastAsia="宋体" w:cs="Times New Roman"/>
                <w:b/>
                <w:bCs/>
                <w:color w:val="auto"/>
                <w:kern w:val="0"/>
                <w:szCs w:val="21"/>
              </w:rPr>
              <w:t xml:space="preserve">  国民经济行业分类和代码</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6"/>
              <w:gridCol w:w="5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8" w:type="dxa"/>
                  <w:noWrap w:val="0"/>
                  <w:vAlign w:val="top"/>
                </w:tcPr>
                <w:p>
                  <w:pPr>
                    <w:pStyle w:val="44"/>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C</w:t>
                  </w:r>
                </w:p>
              </w:tc>
              <w:tc>
                <w:tcPr>
                  <w:tcW w:w="5714" w:type="dxa"/>
                  <w:noWrap w:val="0"/>
                  <w:vAlign w:val="top"/>
                </w:tcPr>
                <w:p>
                  <w:pPr>
                    <w:pStyle w:val="44"/>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8" w:type="dxa"/>
                  <w:noWrap w:val="0"/>
                  <w:vAlign w:val="top"/>
                </w:tcPr>
                <w:p>
                  <w:pPr>
                    <w:pStyle w:val="44"/>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33</w:t>
                  </w:r>
                </w:p>
              </w:tc>
              <w:tc>
                <w:tcPr>
                  <w:tcW w:w="5714" w:type="dxa"/>
                  <w:noWrap w:val="0"/>
                  <w:vAlign w:val="top"/>
                </w:tcPr>
                <w:p>
                  <w:pPr>
                    <w:pStyle w:val="44"/>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金属制品业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8" w:type="dxa"/>
                  <w:noWrap w:val="0"/>
                  <w:vAlign w:val="top"/>
                </w:tcPr>
                <w:p>
                  <w:pPr>
                    <w:pStyle w:val="44"/>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339</w:t>
                  </w:r>
                </w:p>
              </w:tc>
              <w:tc>
                <w:tcPr>
                  <w:tcW w:w="5714" w:type="dxa"/>
                  <w:noWrap w:val="0"/>
                  <w:vAlign w:val="top"/>
                </w:tcPr>
                <w:p>
                  <w:pPr>
                    <w:pStyle w:val="44"/>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铸造及其他金属制品制造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8" w:type="dxa"/>
                  <w:noWrap w:val="0"/>
                  <w:vAlign w:val="top"/>
                </w:tcPr>
                <w:p>
                  <w:pPr>
                    <w:pStyle w:val="44"/>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3391</w:t>
                  </w:r>
                </w:p>
              </w:tc>
              <w:tc>
                <w:tcPr>
                  <w:tcW w:w="5714" w:type="dxa"/>
                  <w:noWrap w:val="0"/>
                  <w:vAlign w:val="top"/>
                </w:tcPr>
                <w:p>
                  <w:pPr>
                    <w:pStyle w:val="44"/>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黑色金属铸造</w:t>
                  </w:r>
                </w:p>
              </w:tc>
            </w:tr>
          </w:tbl>
          <w:p>
            <w:pPr>
              <w:topLinePunct/>
              <w:spacing w:line="360" w:lineRule="auto"/>
              <w:ind w:firstLine="480" w:firstLineChars="200"/>
              <w:contextualSpacing/>
              <w:jc w:val="left"/>
              <w:textAlignment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根据《建设项目环境影响评价分类管理名录</w:t>
            </w:r>
            <w:r>
              <w:rPr>
                <w:rFonts w:hint="eastAsia" w:cs="Times New Roman"/>
                <w:color w:val="auto"/>
                <w:sz w:val="24"/>
                <w:lang w:eastAsia="zh-CN"/>
              </w:rPr>
              <w:t>（</w:t>
            </w:r>
            <w:r>
              <w:rPr>
                <w:rFonts w:hint="eastAsia" w:cs="Times New Roman"/>
                <w:color w:val="auto"/>
                <w:sz w:val="24"/>
                <w:lang w:val="en-US" w:eastAsia="zh-CN"/>
              </w:rPr>
              <w:t>2021年版</w:t>
            </w:r>
            <w:r>
              <w:rPr>
                <w:rFonts w:hint="eastAsia" w:cs="Times New Roman"/>
                <w:color w:val="auto"/>
                <w:sz w:val="24"/>
                <w:lang w:eastAsia="zh-CN"/>
              </w:rPr>
              <w:t>）</w:t>
            </w:r>
            <w:r>
              <w:rPr>
                <w:rFonts w:hint="default" w:ascii="Times New Roman" w:hAnsi="Times New Roman" w:eastAsia="宋体" w:cs="Times New Roman"/>
                <w:color w:val="auto"/>
                <w:sz w:val="24"/>
              </w:rPr>
              <w:t>》</w:t>
            </w:r>
            <w:r>
              <w:rPr>
                <w:rFonts w:hint="eastAsia" w:cs="Times New Roman"/>
                <w:color w:val="auto"/>
                <w:sz w:val="24"/>
                <w:lang w:eastAsia="zh-CN"/>
              </w:rPr>
              <w:t>（</w:t>
            </w:r>
            <w:r>
              <w:rPr>
                <w:rFonts w:hint="eastAsia" w:cs="Times New Roman"/>
                <w:color w:val="auto"/>
                <w:sz w:val="24"/>
                <w:lang w:val="en-US" w:eastAsia="zh-CN"/>
              </w:rPr>
              <w:t>部令第16号</w:t>
            </w:r>
            <w:r>
              <w:rPr>
                <w:rFonts w:hint="eastAsia" w:cs="Times New Roman"/>
                <w:color w:val="auto"/>
                <w:sz w:val="24"/>
                <w:lang w:eastAsia="zh-CN"/>
              </w:rPr>
              <w:t>），</w:t>
            </w:r>
            <w:r>
              <w:rPr>
                <w:rFonts w:hint="default" w:ascii="Times New Roman" w:hAnsi="Times New Roman" w:eastAsia="宋体" w:cs="Times New Roman"/>
                <w:color w:val="auto"/>
                <w:sz w:val="24"/>
              </w:rPr>
              <w:t>具体见下表。</w:t>
            </w:r>
          </w:p>
          <w:p>
            <w:pPr>
              <w:autoSpaceDE w:val="0"/>
              <w:autoSpaceDN w:val="0"/>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cs="Times New Roman"/>
                <w:b/>
                <w:bCs/>
                <w:color w:val="auto"/>
                <w:kern w:val="0"/>
                <w:szCs w:val="21"/>
                <w:lang w:val="en-US" w:eastAsia="zh-CN"/>
              </w:rPr>
              <w:t>2</w:t>
            </w:r>
            <w:r>
              <w:rPr>
                <w:rFonts w:hint="default" w:ascii="Times New Roman" w:hAnsi="Times New Roman" w:eastAsia="宋体" w:cs="Times New Roman"/>
                <w:b/>
                <w:bCs/>
                <w:color w:val="auto"/>
                <w:kern w:val="0"/>
                <w:szCs w:val="21"/>
              </w:rPr>
              <w:t>-</w:t>
            </w:r>
            <w:r>
              <w:rPr>
                <w:rFonts w:hint="eastAsia" w:cs="Times New Roman"/>
                <w:b/>
                <w:bCs/>
                <w:color w:val="auto"/>
                <w:kern w:val="0"/>
                <w:szCs w:val="21"/>
                <w:lang w:val="en-US" w:eastAsia="zh-CN"/>
              </w:rPr>
              <w:t>2</w:t>
            </w:r>
            <w:r>
              <w:rPr>
                <w:rFonts w:hint="default" w:ascii="Times New Roman" w:hAnsi="Times New Roman" w:eastAsia="宋体" w:cs="Times New Roman"/>
                <w:b/>
                <w:bCs/>
                <w:color w:val="auto"/>
                <w:kern w:val="0"/>
                <w:szCs w:val="21"/>
              </w:rPr>
              <w:t xml:space="preserve">  建设项目环境影响评价分类管理名录</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729"/>
              <w:gridCol w:w="2189"/>
              <w:gridCol w:w="2154"/>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0" w:type="pct"/>
                  <w:gridSpan w:val="2"/>
                  <w:tcBorders>
                    <w:tl2br w:val="single" w:color="auto" w:sz="4" w:space="0"/>
                  </w:tcBorders>
                  <w:noWrap w:val="0"/>
                  <w:vAlign w:val="top"/>
                </w:tcPr>
                <w:p>
                  <w:pPr>
                    <w:pStyle w:val="44"/>
                    <w:spacing w:line="240" w:lineRule="auto"/>
                    <w:jc w:val="righ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项目类别</w:t>
                  </w:r>
                </w:p>
                <w:p>
                  <w:pPr>
                    <w:pStyle w:val="44"/>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环评类别</w:t>
                  </w:r>
                </w:p>
              </w:tc>
              <w:tc>
                <w:tcPr>
                  <w:tcW w:w="1379" w:type="pct"/>
                  <w:noWrap w:val="0"/>
                  <w:vAlign w:val="center"/>
                </w:tcPr>
                <w:p>
                  <w:pPr>
                    <w:pStyle w:val="44"/>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报告书</w:t>
                  </w:r>
                </w:p>
              </w:tc>
              <w:tc>
                <w:tcPr>
                  <w:tcW w:w="1357" w:type="pct"/>
                  <w:noWrap w:val="0"/>
                  <w:vAlign w:val="center"/>
                </w:tcPr>
                <w:p>
                  <w:pPr>
                    <w:pStyle w:val="44"/>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报告表</w:t>
                  </w:r>
                </w:p>
              </w:tc>
              <w:tc>
                <w:tcPr>
                  <w:tcW w:w="792" w:type="pct"/>
                  <w:noWrap w:val="0"/>
                  <w:vAlign w:val="center"/>
                </w:tcPr>
                <w:p>
                  <w:pPr>
                    <w:pStyle w:val="44"/>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pPr>
                    <w:pStyle w:val="44"/>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68</w:t>
                  </w:r>
                </w:p>
              </w:tc>
              <w:tc>
                <w:tcPr>
                  <w:tcW w:w="1089" w:type="pct"/>
                  <w:noWrap w:val="0"/>
                  <w:vAlign w:val="center"/>
                </w:tcPr>
                <w:p>
                  <w:pPr>
                    <w:pStyle w:val="44"/>
                    <w:spacing w:line="240" w:lineRule="auto"/>
                    <w:jc w:val="both"/>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铸造及其他金属制品制造339</w:t>
                  </w:r>
                </w:p>
              </w:tc>
              <w:tc>
                <w:tcPr>
                  <w:tcW w:w="1379" w:type="pct"/>
                  <w:noWrap w:val="0"/>
                  <w:vAlign w:val="center"/>
                </w:tcPr>
                <w:p>
                  <w:pPr>
                    <w:pStyle w:val="44"/>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黑色金属铸造年产10万吨及以上的；有色金属铸造年产10万吨及以上的</w:t>
                  </w:r>
                </w:p>
              </w:tc>
              <w:tc>
                <w:tcPr>
                  <w:tcW w:w="1357" w:type="pct"/>
                  <w:noWrap w:val="0"/>
                  <w:vAlign w:val="center"/>
                </w:tcPr>
                <w:p>
                  <w:pPr>
                    <w:pStyle w:val="44"/>
                    <w:spacing w:line="240" w:lineRule="auto"/>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其他（仅切割、焊接、组装的除外）</w:t>
                  </w:r>
                </w:p>
              </w:tc>
              <w:tc>
                <w:tcPr>
                  <w:tcW w:w="792" w:type="pct"/>
                  <w:noWrap w:val="0"/>
                  <w:vAlign w:val="center"/>
                </w:tcPr>
                <w:p>
                  <w:pPr>
                    <w:pStyle w:val="44"/>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r>
          </w:tbl>
          <w:p>
            <w:pPr>
              <w:pStyle w:val="72"/>
              <w:bidi w:val="0"/>
              <w:rPr>
                <w:rFonts w:hint="eastAsia"/>
                <w:b w:val="0"/>
                <w:bCs w:val="0"/>
                <w:color w:val="auto"/>
                <w:lang w:val="en-US" w:eastAsia="zh-CN"/>
              </w:rPr>
            </w:pPr>
            <w:r>
              <w:rPr>
                <w:rFonts w:hint="default" w:ascii="Times New Roman" w:hAnsi="Times New Roman" w:eastAsia="宋体" w:cs="Times New Roman"/>
                <w:color w:val="auto"/>
                <w:sz w:val="24"/>
              </w:rPr>
              <w:t>本项目类别为“</w:t>
            </w:r>
            <w:r>
              <w:rPr>
                <w:rFonts w:hint="eastAsia" w:ascii="Times New Roman" w:hAnsi="Times New Roman" w:cs="Times New Roman"/>
                <w:color w:val="auto"/>
                <w:sz w:val="24"/>
                <w:lang w:val="en-US" w:eastAsia="zh-CN"/>
              </w:rPr>
              <w:t>三十</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金属制品33</w:t>
            </w:r>
            <w:r>
              <w:rPr>
                <w:rFonts w:hint="default" w:ascii="Times New Roman" w:hAnsi="Times New Roman" w:eastAsia="宋体" w:cs="Times New Roman"/>
                <w:color w:val="auto"/>
                <w:sz w:val="24"/>
              </w:rPr>
              <w:t>的</w:t>
            </w:r>
            <w:r>
              <w:rPr>
                <w:rFonts w:hint="eastAsia" w:cs="Times New Roman"/>
                <w:color w:val="auto"/>
                <w:sz w:val="24"/>
                <w:lang w:eastAsia="zh-CN"/>
              </w:rPr>
              <w:t>“</w:t>
            </w:r>
            <w:r>
              <w:rPr>
                <w:rFonts w:hint="eastAsia" w:ascii="Times New Roman" w:hAnsi="Times New Roman" w:cs="Times New Roman"/>
                <w:color w:val="auto"/>
                <w:sz w:val="24"/>
                <w:lang w:val="en-US" w:eastAsia="zh-CN"/>
              </w:rPr>
              <w:t>68、</w:t>
            </w:r>
            <w:r>
              <w:rPr>
                <w:rFonts w:hint="default" w:ascii="Times New Roman" w:hAnsi="Times New Roman" w:eastAsia="宋体" w:cs="Times New Roman"/>
                <w:color w:val="auto"/>
                <w:sz w:val="24"/>
              </w:rPr>
              <w:t>铸造及其他金属制品制造339</w:t>
            </w:r>
            <w:r>
              <w:rPr>
                <w:rFonts w:hint="eastAsia" w:cs="Times New Roman"/>
                <w:color w:val="auto"/>
                <w:sz w:val="24"/>
                <w:lang w:eastAsia="zh-CN"/>
              </w:rPr>
              <w:t>”</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本项目年产</w:t>
            </w:r>
            <w:r>
              <w:rPr>
                <w:rFonts w:hint="eastAsia" w:cs="Times New Roman"/>
                <w:color w:val="auto"/>
                <w:sz w:val="24"/>
                <w:lang w:val="en-US" w:eastAsia="zh-CN"/>
              </w:rPr>
              <w:t>1900</w:t>
            </w:r>
            <w:r>
              <w:rPr>
                <w:rFonts w:hint="eastAsia" w:ascii="Times New Roman" w:hAnsi="Times New Roman" w:cs="Times New Roman"/>
                <w:color w:val="auto"/>
                <w:sz w:val="24"/>
                <w:lang w:val="en-US" w:eastAsia="zh-CN"/>
              </w:rPr>
              <w:t>吨铸铁件，</w:t>
            </w:r>
            <w:r>
              <w:rPr>
                <w:rFonts w:hint="default" w:ascii="Times New Roman" w:hAnsi="Times New Roman" w:eastAsia="宋体" w:cs="Times New Roman"/>
                <w:color w:val="auto"/>
                <w:sz w:val="24"/>
              </w:rPr>
              <w:t>应编制环境影响报告</w:t>
            </w:r>
            <w:r>
              <w:rPr>
                <w:rFonts w:hint="eastAsia" w:ascii="Times New Roman" w:hAnsi="Times New Roman" w:cs="Times New Roman"/>
                <w:color w:val="auto"/>
                <w:sz w:val="24"/>
                <w:lang w:val="en-US" w:eastAsia="zh-CN"/>
              </w:rPr>
              <w:t>表。</w:t>
            </w:r>
          </w:p>
          <w:p>
            <w:pPr>
              <w:pStyle w:val="72"/>
              <w:bidi w:val="0"/>
              <w:rPr>
                <w:rFonts w:hint="default"/>
                <w:b w:val="0"/>
                <w:bCs w:val="0"/>
                <w:color w:val="auto"/>
                <w:lang w:val="en-US" w:eastAsia="zh-CN"/>
              </w:rPr>
            </w:pPr>
            <w:r>
              <w:rPr>
                <w:rFonts w:hint="eastAsia"/>
                <w:b w:val="0"/>
                <w:bCs w:val="0"/>
                <w:color w:val="auto"/>
                <w:lang w:val="en-US" w:eastAsia="zh-CN"/>
              </w:rPr>
              <w:t>我</w:t>
            </w:r>
            <w:r>
              <w:rPr>
                <w:rFonts w:hint="default"/>
                <w:b w:val="0"/>
                <w:bCs w:val="0"/>
                <w:color w:val="auto"/>
                <w:lang w:val="en-US" w:eastAsia="zh-CN"/>
              </w:rPr>
              <w:t>公司接受委托后，立即组织人员到项目建设场地及其周围进行实地勘查与调研，收集有关工程资料，依照</w:t>
            </w:r>
            <w:r>
              <w:rPr>
                <w:rFonts w:hint="eastAsia"/>
                <w:b w:val="0"/>
                <w:bCs w:val="0"/>
                <w:color w:val="auto"/>
                <w:lang w:val="en-US" w:eastAsia="zh-CN"/>
              </w:rPr>
              <w:t>《</w:t>
            </w:r>
            <w:r>
              <w:rPr>
                <w:rFonts w:hint="default"/>
                <w:b w:val="0"/>
                <w:bCs w:val="0"/>
                <w:color w:val="auto"/>
                <w:lang w:val="en-US" w:eastAsia="zh-CN"/>
              </w:rPr>
              <w:t>建设项目环境影响报告表编制技术指南（污染影响类）</w:t>
            </w:r>
            <w:r>
              <w:rPr>
                <w:rFonts w:hint="eastAsia"/>
                <w:b w:val="0"/>
                <w:bCs w:val="0"/>
                <w:color w:val="auto"/>
                <w:lang w:val="en-US" w:eastAsia="zh-CN"/>
              </w:rPr>
              <w:t>》</w:t>
            </w:r>
            <w:r>
              <w:rPr>
                <w:rFonts w:hint="default"/>
                <w:b w:val="0"/>
                <w:bCs w:val="0"/>
                <w:color w:val="auto"/>
                <w:lang w:val="en-US" w:eastAsia="zh-CN"/>
              </w:rPr>
              <w:t>（试行），结合该项目的建设特点，编制该项目环境影响报告表。</w:t>
            </w:r>
          </w:p>
          <w:p>
            <w:pPr>
              <w:pStyle w:val="72"/>
              <w:bidi w:val="0"/>
              <w:rPr>
                <w:rFonts w:hint="default"/>
                <w:b/>
                <w:bCs/>
                <w:color w:val="auto"/>
                <w:lang w:val="en-US" w:eastAsia="zh-CN"/>
              </w:rPr>
            </w:pPr>
            <w:r>
              <w:rPr>
                <w:rFonts w:hint="eastAsia"/>
                <w:b/>
                <w:bCs/>
                <w:color w:val="auto"/>
                <w:lang w:val="en-US" w:eastAsia="zh-CN"/>
              </w:rPr>
              <w:t xml:space="preserve">2、 </w:t>
            </w:r>
            <w:r>
              <w:rPr>
                <w:b/>
                <w:bCs/>
                <w:color w:val="auto"/>
              </w:rPr>
              <w:t>项目建设内容及规模</w:t>
            </w:r>
          </w:p>
          <w:p>
            <w:pPr>
              <w:pStyle w:val="72"/>
              <w:bidi w:val="0"/>
              <w:rPr>
                <w:rFonts w:hint="default"/>
                <w:b w:val="0"/>
                <w:bCs w:val="0"/>
                <w:color w:val="auto"/>
                <w:lang w:val="en-US" w:eastAsia="zh-CN"/>
              </w:rPr>
            </w:pPr>
            <w:r>
              <w:rPr>
                <w:rFonts w:hint="eastAsia"/>
                <w:b w:val="0"/>
                <w:bCs w:val="0"/>
                <w:color w:val="auto"/>
                <w:lang w:val="en-US" w:eastAsia="zh-CN"/>
              </w:rPr>
              <w:t>本项目占地面积2415m</w:t>
            </w:r>
            <w:r>
              <w:rPr>
                <w:rFonts w:hint="eastAsia"/>
                <w:b w:val="0"/>
                <w:bCs w:val="0"/>
                <w:color w:val="auto"/>
                <w:vertAlign w:val="superscript"/>
                <w:lang w:val="en-US" w:eastAsia="zh-CN"/>
              </w:rPr>
              <w:t>2</w:t>
            </w:r>
            <w:r>
              <w:rPr>
                <w:rFonts w:hint="eastAsia"/>
                <w:b w:val="0"/>
                <w:bCs w:val="0"/>
                <w:color w:val="auto"/>
                <w:lang w:val="en-US" w:eastAsia="zh-CN"/>
              </w:rPr>
              <w:t>，建有1栋建筑面积为1657.5m</w:t>
            </w:r>
            <w:r>
              <w:rPr>
                <w:rFonts w:hint="eastAsia"/>
                <w:b w:val="0"/>
                <w:bCs w:val="0"/>
                <w:color w:val="auto"/>
                <w:vertAlign w:val="superscript"/>
                <w:lang w:val="en-US" w:eastAsia="zh-CN"/>
              </w:rPr>
              <w:t>2</w:t>
            </w:r>
            <w:r>
              <w:rPr>
                <w:rFonts w:hint="eastAsia"/>
                <w:b w:val="0"/>
                <w:bCs w:val="0"/>
                <w:color w:val="auto"/>
                <w:lang w:val="en-US" w:eastAsia="zh-CN"/>
              </w:rPr>
              <w:t>的生产车间，有 1 台0.75吨中频炉，采用砂型铸造工艺—三乙胺冷芯盒法，铸造产能为1900吨/年铸铁件，主要建设内容与规模见下表。</w:t>
            </w:r>
          </w:p>
          <w:p>
            <w:pPr>
              <w:pStyle w:val="70"/>
              <w:bidi w:val="0"/>
              <w:rPr>
                <w:color w:val="auto"/>
              </w:rPr>
            </w:pPr>
            <w:r>
              <w:rPr>
                <w:color w:val="auto"/>
              </w:rPr>
              <w:t>表</w:t>
            </w:r>
            <w:r>
              <w:rPr>
                <w:rFonts w:hint="eastAsia"/>
                <w:color w:val="auto"/>
                <w:lang w:val="en-US" w:eastAsia="zh-CN"/>
              </w:rPr>
              <w:t>2-3</w:t>
            </w:r>
            <w:r>
              <w:rPr>
                <w:color w:val="auto"/>
              </w:rPr>
              <w:t xml:space="preserve"> 项目</w:t>
            </w:r>
            <w:r>
              <w:rPr>
                <w:rFonts w:hint="eastAsia"/>
                <w:color w:val="auto"/>
                <w:lang w:eastAsia="zh-CN"/>
              </w:rPr>
              <w:t>工程内容</w:t>
            </w:r>
            <w:r>
              <w:rPr>
                <w:color w:val="auto"/>
              </w:rPr>
              <w:t>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911"/>
              <w:gridCol w:w="825"/>
              <w:gridCol w:w="5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16" w:type="dxa"/>
                  <w:gridSpan w:val="3"/>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b/>
                      <w:bCs/>
                      <w:color w:val="auto"/>
                      <w:sz w:val="21"/>
                      <w:szCs w:val="21"/>
                    </w:rPr>
                  </w:pPr>
                  <w:r>
                    <w:rPr>
                      <w:rFonts w:hint="eastAsia"/>
                      <w:b/>
                      <w:bCs/>
                      <w:color w:val="auto"/>
                      <w:sz w:val="21"/>
                      <w:szCs w:val="21"/>
                    </w:rPr>
                    <w:t>工程名称</w:t>
                  </w:r>
                </w:p>
              </w:tc>
              <w:tc>
                <w:tcPr>
                  <w:tcW w:w="5219" w:type="dxa"/>
                  <w:noWrap w:val="0"/>
                  <w:vAlign w:val="center"/>
                </w:tcPr>
                <w:p>
                  <w:pPr>
                    <w:pStyle w:val="68"/>
                    <w:keepNext w:val="0"/>
                    <w:keepLines w:val="0"/>
                    <w:pageBreakBefore w:val="0"/>
                    <w:kinsoku/>
                    <w:wordWrap/>
                    <w:overflowPunct/>
                    <w:topLinePunct w:val="0"/>
                    <w:autoSpaceDE/>
                    <w:autoSpaceDN/>
                    <w:bidi w:val="0"/>
                    <w:adjustRightInd/>
                    <w:snapToGrid/>
                    <w:ind w:left="-105" w:leftChars="-50" w:right="-105" w:rightChars="-50"/>
                    <w:textAlignment w:val="auto"/>
                    <w:rPr>
                      <w:rFonts w:hint="eastAsia" w:eastAsia="宋体"/>
                      <w:b/>
                      <w:bCs/>
                      <w:color w:val="auto"/>
                      <w:sz w:val="21"/>
                      <w:szCs w:val="21"/>
                      <w:lang w:eastAsia="zh-CN"/>
                    </w:rPr>
                  </w:pPr>
                  <w:r>
                    <w:rPr>
                      <w:rFonts w:hint="eastAsia"/>
                      <w:b/>
                      <w:bCs/>
                      <w:color w:val="auto"/>
                      <w:sz w:val="21"/>
                      <w:szCs w:val="21"/>
                      <w:lang w:eastAsia="zh-CN"/>
                    </w:rPr>
                    <w:t>工程内容及规模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980" w:type="dxa"/>
                  <w:vMerge w:val="restart"/>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color w:val="auto"/>
                      <w:sz w:val="21"/>
                      <w:szCs w:val="21"/>
                    </w:rPr>
                  </w:pPr>
                  <w:r>
                    <w:rPr>
                      <w:rFonts w:hint="eastAsia"/>
                      <w:color w:val="auto"/>
                      <w:sz w:val="21"/>
                      <w:szCs w:val="21"/>
                    </w:rPr>
                    <w:t>主体工程</w:t>
                  </w:r>
                </w:p>
              </w:tc>
              <w:tc>
                <w:tcPr>
                  <w:tcW w:w="1736" w:type="dxa"/>
                  <w:gridSpan w:val="2"/>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eastAsia="宋体"/>
                      <w:color w:val="auto"/>
                      <w:sz w:val="21"/>
                      <w:szCs w:val="21"/>
                      <w:lang w:val="en-US" w:eastAsia="zh-CN"/>
                    </w:rPr>
                  </w:pPr>
                  <w:r>
                    <w:rPr>
                      <w:rFonts w:hint="eastAsia"/>
                      <w:color w:val="auto"/>
                      <w:sz w:val="21"/>
                      <w:szCs w:val="21"/>
                      <w:lang w:val="en-US" w:eastAsia="zh-CN"/>
                    </w:rPr>
                    <w:t>熔炼区</w:t>
                  </w:r>
                </w:p>
              </w:tc>
              <w:tc>
                <w:tcPr>
                  <w:tcW w:w="5219" w:type="dxa"/>
                  <w:noWrap w:val="0"/>
                  <w:vAlign w:val="center"/>
                </w:tcPr>
                <w:p>
                  <w:pPr>
                    <w:keepNext w:val="0"/>
                    <w:keepLines w:val="0"/>
                    <w:widowControl/>
                    <w:suppressLineNumbers w:val="0"/>
                    <w:jc w:val="left"/>
                    <w:rPr>
                      <w:rFonts w:hint="default"/>
                      <w:color w:val="auto"/>
                      <w:sz w:val="21"/>
                      <w:szCs w:val="21"/>
                      <w:lang w:val="en-US" w:eastAsia="zh-CN"/>
                    </w:rPr>
                  </w:pPr>
                  <w:r>
                    <w:rPr>
                      <w:rFonts w:hint="eastAsia"/>
                      <w:color w:val="auto"/>
                      <w:lang w:val="en-US" w:eastAsia="zh-CN"/>
                    </w:rPr>
                    <w:t>位于厂房内</w:t>
                  </w:r>
                  <w:r>
                    <w:rPr>
                      <w:rFonts w:hint="eastAsia" w:ascii="宋体" w:hAnsi="宋体" w:eastAsia="宋体" w:cs="宋体"/>
                      <w:color w:val="auto"/>
                      <w:kern w:val="0"/>
                      <w:sz w:val="21"/>
                      <w:szCs w:val="21"/>
                      <w:lang w:val="en-US" w:eastAsia="zh-CN" w:bidi="ar"/>
                    </w:rPr>
                    <w:t>西南侧，</w:t>
                  </w:r>
                  <w:r>
                    <w:rPr>
                      <w:rFonts w:hint="eastAsia"/>
                      <w:color w:val="auto"/>
                      <w:lang w:val="en-US" w:eastAsia="zh-CN"/>
                    </w:rPr>
                    <w:t>面积为20m</w:t>
                  </w:r>
                  <w:r>
                    <w:rPr>
                      <w:rFonts w:hint="eastAsia"/>
                      <w:color w:val="auto"/>
                      <w:vertAlign w:val="superscript"/>
                      <w:lang w:val="en-US" w:eastAsia="zh-CN"/>
                    </w:rPr>
                    <w:t>2</w:t>
                  </w:r>
                  <w:r>
                    <w:rPr>
                      <w:rFonts w:hint="eastAsia" w:ascii="宋体" w:hAnsi="宋体" w:eastAsia="宋体" w:cs="宋体"/>
                      <w:color w:val="auto"/>
                      <w:kern w:val="0"/>
                      <w:sz w:val="21"/>
                      <w:szCs w:val="21"/>
                      <w:lang w:val="en-US" w:eastAsia="zh-CN" w:bidi="ar"/>
                    </w:rPr>
                    <w:t>，设置有1台0.75</w:t>
                  </w:r>
                  <w:r>
                    <w:rPr>
                      <w:rFonts w:hint="default" w:ascii="Times New Roman" w:hAnsi="Times New Roman" w:eastAsia="宋体" w:cs="Times New Roman"/>
                      <w:color w:val="auto"/>
                      <w:kern w:val="0"/>
                      <w:sz w:val="21"/>
                      <w:szCs w:val="21"/>
                      <w:lang w:val="en-US" w:eastAsia="zh-CN" w:bidi="ar"/>
                    </w:rPr>
                    <w:t xml:space="preserve">t </w:t>
                  </w:r>
                  <w:r>
                    <w:rPr>
                      <w:rFonts w:hint="eastAsia" w:ascii="宋体" w:hAnsi="宋体" w:eastAsia="宋体" w:cs="宋体"/>
                      <w:color w:val="auto"/>
                      <w:kern w:val="0"/>
                      <w:sz w:val="21"/>
                      <w:szCs w:val="21"/>
                      <w:lang w:val="en-US" w:eastAsia="zh-CN" w:bidi="ar"/>
                    </w:rPr>
                    <w:t>中频</w:t>
                  </w:r>
                  <w:r>
                    <w:rPr>
                      <w:rFonts w:hint="eastAsia" w:ascii="宋体" w:hAnsi="宋体" w:cs="宋体"/>
                      <w:color w:val="auto"/>
                      <w:kern w:val="0"/>
                      <w:sz w:val="21"/>
                      <w:szCs w:val="21"/>
                      <w:lang w:val="en-US" w:eastAsia="zh-CN" w:bidi="ar"/>
                    </w:rPr>
                    <w:t>熔炼</w:t>
                  </w:r>
                  <w:r>
                    <w:rPr>
                      <w:rFonts w:hint="eastAsia" w:ascii="宋体" w:hAnsi="宋体" w:eastAsia="宋体" w:cs="宋体"/>
                      <w:color w:val="auto"/>
                      <w:kern w:val="0"/>
                      <w:sz w:val="21"/>
                      <w:szCs w:val="21"/>
                      <w:lang w:val="en-US" w:eastAsia="zh-CN" w:bidi="ar"/>
                    </w:rPr>
                    <w:t>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color w:val="auto"/>
                      <w:sz w:val="21"/>
                      <w:szCs w:val="21"/>
                    </w:rPr>
                  </w:pPr>
                </w:p>
              </w:tc>
              <w:tc>
                <w:tcPr>
                  <w:tcW w:w="1736" w:type="dxa"/>
                  <w:gridSpan w:val="2"/>
                  <w:noWrap w:val="0"/>
                  <w:vAlign w:val="center"/>
                </w:tcPr>
                <w:p>
                  <w:pPr>
                    <w:keepNext w:val="0"/>
                    <w:keepLines w:val="0"/>
                    <w:widowControl/>
                    <w:suppressLineNumbers w:val="0"/>
                    <w:jc w:val="center"/>
                    <w:rPr>
                      <w:rFonts w:hint="default" w:eastAsia="宋体"/>
                      <w:color w:val="auto"/>
                      <w:sz w:val="21"/>
                      <w:szCs w:val="21"/>
                      <w:lang w:val="en-US" w:eastAsia="zh-CN"/>
                    </w:rPr>
                  </w:pPr>
                  <w:r>
                    <w:rPr>
                      <w:rFonts w:hint="eastAsia" w:ascii="宋体" w:hAnsi="宋体" w:cs="宋体"/>
                      <w:color w:val="auto"/>
                      <w:kern w:val="0"/>
                      <w:sz w:val="21"/>
                      <w:szCs w:val="21"/>
                      <w:lang w:val="en-US" w:eastAsia="zh-CN" w:bidi="ar"/>
                    </w:rPr>
                    <w:t>制芯区</w:t>
                  </w:r>
                </w:p>
              </w:tc>
              <w:tc>
                <w:tcPr>
                  <w:tcW w:w="5219" w:type="dxa"/>
                  <w:noWrap w:val="0"/>
                  <w:vAlign w:val="center"/>
                </w:tcPr>
                <w:p>
                  <w:pPr>
                    <w:keepNext w:val="0"/>
                    <w:keepLines w:val="0"/>
                    <w:widowControl/>
                    <w:suppressLineNumbers w:val="0"/>
                    <w:jc w:val="left"/>
                    <w:rPr>
                      <w:rFonts w:hint="default"/>
                      <w:color w:val="auto"/>
                      <w:sz w:val="21"/>
                      <w:szCs w:val="21"/>
                      <w:lang w:val="en-US" w:eastAsia="zh-CN"/>
                    </w:rPr>
                  </w:pPr>
                  <w:r>
                    <w:rPr>
                      <w:rFonts w:hint="eastAsia" w:ascii="宋体" w:hAnsi="宋体" w:eastAsia="宋体" w:cs="宋体"/>
                      <w:color w:val="auto"/>
                      <w:kern w:val="0"/>
                      <w:sz w:val="21"/>
                      <w:szCs w:val="21"/>
                      <w:lang w:val="en-US" w:eastAsia="zh-CN" w:bidi="ar"/>
                    </w:rPr>
                    <w:t>位于厂房内北侧，</w:t>
                  </w:r>
                  <w:r>
                    <w:rPr>
                      <w:rFonts w:hint="eastAsia"/>
                      <w:color w:val="auto"/>
                      <w:lang w:val="en-US" w:eastAsia="zh-CN"/>
                    </w:rPr>
                    <w:t>面积为100m</w:t>
                  </w:r>
                  <w:r>
                    <w:rPr>
                      <w:rFonts w:hint="eastAsia"/>
                      <w:color w:val="auto"/>
                      <w:vertAlign w:val="superscript"/>
                      <w:lang w:val="en-US" w:eastAsia="zh-CN"/>
                    </w:rPr>
                    <w:t>2</w:t>
                  </w:r>
                  <w:r>
                    <w:rPr>
                      <w:rFonts w:hint="eastAsia" w:ascii="宋体" w:hAnsi="宋体" w:eastAsia="宋体" w:cs="宋体"/>
                      <w:color w:val="auto"/>
                      <w:kern w:val="0"/>
                      <w:sz w:val="21"/>
                      <w:szCs w:val="21"/>
                      <w:lang w:val="en-US" w:eastAsia="zh-CN" w:bidi="ar"/>
                    </w:rPr>
                    <w:t>，设置有1台冷芯盒射砂制芯机和1套砂处理系统</w:t>
                  </w:r>
                  <w:r>
                    <w:rPr>
                      <w:rFonts w:hint="eastAsia" w:ascii="宋体" w:hAnsi="宋体" w:cs="宋体"/>
                      <w:color w:val="auto"/>
                      <w:kern w:val="0"/>
                      <w:sz w:val="21"/>
                      <w:szCs w:val="21"/>
                      <w:lang w:val="en-US" w:eastAsia="zh-CN" w:bidi="ar"/>
                    </w:rPr>
                    <w:t>，采用三乙胺</w:t>
                  </w:r>
                  <w:r>
                    <w:rPr>
                      <w:rFonts w:hint="eastAsia"/>
                      <w:b w:val="0"/>
                      <w:bCs w:val="0"/>
                      <w:color w:val="auto"/>
                      <w:lang w:val="en-US" w:eastAsia="zh-CN"/>
                    </w:rPr>
                    <w:t>冷芯盒法制芯。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color w:val="auto"/>
                      <w:sz w:val="21"/>
                      <w:szCs w:val="21"/>
                    </w:rPr>
                  </w:pPr>
                </w:p>
              </w:tc>
              <w:tc>
                <w:tcPr>
                  <w:tcW w:w="1736" w:type="dxa"/>
                  <w:gridSpan w:val="2"/>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eastAsia="宋体"/>
                      <w:color w:val="auto"/>
                      <w:sz w:val="21"/>
                      <w:szCs w:val="21"/>
                      <w:lang w:val="en-US" w:eastAsia="zh-CN"/>
                    </w:rPr>
                  </w:pPr>
                  <w:r>
                    <w:rPr>
                      <w:rFonts w:hint="eastAsia"/>
                      <w:color w:val="auto"/>
                      <w:sz w:val="21"/>
                      <w:szCs w:val="21"/>
                      <w:lang w:val="en-US" w:eastAsia="zh-CN"/>
                    </w:rPr>
                    <w:t>铸件抛丸清理区</w:t>
                  </w:r>
                </w:p>
              </w:tc>
              <w:tc>
                <w:tcPr>
                  <w:tcW w:w="5219" w:type="dxa"/>
                  <w:noWrap w:val="0"/>
                  <w:vAlign w:val="center"/>
                </w:tcPr>
                <w:p>
                  <w:pPr>
                    <w:keepNext w:val="0"/>
                    <w:keepLines w:val="0"/>
                    <w:widowControl/>
                    <w:suppressLineNumbers w:val="0"/>
                    <w:jc w:val="left"/>
                    <w:rPr>
                      <w:rFonts w:hint="default"/>
                      <w:color w:val="auto"/>
                      <w:lang w:val="en-US" w:eastAsia="zh-CN"/>
                    </w:rPr>
                  </w:pPr>
                  <w:r>
                    <w:rPr>
                      <w:rFonts w:hint="eastAsia"/>
                      <w:color w:val="auto"/>
                      <w:lang w:val="en-US" w:eastAsia="zh-CN"/>
                    </w:rPr>
                    <w:t>位于厂房内东南侧，面积为20m</w:t>
                  </w:r>
                  <w:r>
                    <w:rPr>
                      <w:rFonts w:hint="eastAsia"/>
                      <w:color w:val="auto"/>
                      <w:vertAlign w:val="superscript"/>
                      <w:lang w:val="en-US" w:eastAsia="zh-CN"/>
                    </w:rPr>
                    <w:t>2</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设</w:t>
                  </w:r>
                  <w:r>
                    <w:rPr>
                      <w:rFonts w:hint="eastAsia"/>
                      <w:color w:val="auto"/>
                      <w:lang w:val="en-US" w:eastAsia="zh-CN"/>
                    </w:rPr>
                    <w:t>1台铸件抛丸清理机。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color w:val="auto"/>
                      <w:sz w:val="21"/>
                      <w:szCs w:val="21"/>
                    </w:rPr>
                  </w:pPr>
                </w:p>
              </w:tc>
              <w:tc>
                <w:tcPr>
                  <w:tcW w:w="1736" w:type="dxa"/>
                  <w:gridSpan w:val="2"/>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color w:val="auto"/>
                      <w:sz w:val="21"/>
                      <w:szCs w:val="21"/>
                      <w:lang w:val="en-US" w:eastAsia="zh-CN"/>
                    </w:rPr>
                  </w:pPr>
                  <w:r>
                    <w:rPr>
                      <w:rFonts w:hint="eastAsia"/>
                      <w:color w:val="auto"/>
                      <w:sz w:val="21"/>
                      <w:szCs w:val="21"/>
                      <w:lang w:val="en-US" w:eastAsia="zh-CN"/>
                    </w:rPr>
                    <w:t>浇注区</w:t>
                  </w:r>
                </w:p>
              </w:tc>
              <w:tc>
                <w:tcPr>
                  <w:tcW w:w="5219" w:type="dxa"/>
                  <w:noWrap w:val="0"/>
                  <w:vAlign w:val="center"/>
                </w:tcPr>
                <w:p>
                  <w:pPr>
                    <w:keepNext w:val="0"/>
                    <w:keepLines w:val="0"/>
                    <w:widowControl/>
                    <w:suppressLineNumbers w:val="0"/>
                    <w:jc w:val="left"/>
                    <w:rPr>
                      <w:rFonts w:hint="eastAsia"/>
                      <w:color w:val="auto"/>
                      <w:lang w:val="en-US" w:eastAsia="zh-CN"/>
                    </w:rPr>
                  </w:pPr>
                  <w:r>
                    <w:rPr>
                      <w:rFonts w:hint="eastAsia"/>
                      <w:color w:val="auto"/>
                      <w:lang w:val="en-US" w:eastAsia="zh-CN"/>
                    </w:rPr>
                    <w:t>浇注区位于厂房内西侧，面积为50m</w:t>
                  </w:r>
                  <w:r>
                    <w:rPr>
                      <w:rFonts w:hint="eastAsia"/>
                      <w:color w:val="auto"/>
                      <w:vertAlign w:val="superscript"/>
                      <w:lang w:val="en-US" w:eastAsia="zh-CN"/>
                    </w:rPr>
                    <w:t>2</w:t>
                  </w: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980" w:type="dxa"/>
                  <w:vMerge w:val="restart"/>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eastAsia="宋体"/>
                      <w:color w:val="auto"/>
                      <w:sz w:val="21"/>
                      <w:szCs w:val="21"/>
                      <w:lang w:eastAsia="zh-CN"/>
                    </w:rPr>
                  </w:pPr>
                  <w:r>
                    <w:rPr>
                      <w:rFonts w:hint="eastAsia"/>
                      <w:color w:val="auto"/>
                      <w:sz w:val="21"/>
                      <w:szCs w:val="21"/>
                      <w:lang w:eastAsia="zh-CN"/>
                    </w:rPr>
                    <w:t>储运工程</w:t>
                  </w:r>
                </w:p>
              </w:tc>
              <w:tc>
                <w:tcPr>
                  <w:tcW w:w="1736" w:type="dxa"/>
                  <w:gridSpan w:val="2"/>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原料区</w:t>
                  </w:r>
                </w:p>
              </w:tc>
              <w:tc>
                <w:tcPr>
                  <w:tcW w:w="5219" w:type="dxa"/>
                  <w:noWrap w:val="0"/>
                  <w:vAlign w:val="center"/>
                </w:tcPr>
                <w:p>
                  <w:pPr>
                    <w:keepNext w:val="0"/>
                    <w:keepLines w:val="0"/>
                    <w:widowControl/>
                    <w:suppressLineNumbers w:val="0"/>
                    <w:jc w:val="left"/>
                    <w:rPr>
                      <w:rFonts w:hint="default" w:ascii="Times New Roman" w:hAnsi="Times New Roman" w:eastAsia="宋体" w:cs="Times New Roman"/>
                      <w:color w:val="auto"/>
                      <w:kern w:val="2"/>
                      <w:sz w:val="21"/>
                      <w:szCs w:val="22"/>
                      <w:lang w:val="en-US" w:eastAsia="zh-CN" w:bidi="ar-SA"/>
                    </w:rPr>
                  </w:pPr>
                  <w:r>
                    <w:rPr>
                      <w:rFonts w:hint="eastAsia" w:ascii="宋体" w:hAnsi="宋体" w:eastAsia="宋体" w:cs="宋体"/>
                      <w:color w:val="auto"/>
                      <w:kern w:val="0"/>
                      <w:sz w:val="21"/>
                      <w:szCs w:val="21"/>
                      <w:lang w:val="en-US" w:eastAsia="zh-CN" w:bidi="ar"/>
                    </w:rPr>
                    <w:t>位于</w:t>
                  </w:r>
                  <w:r>
                    <w:rPr>
                      <w:rFonts w:hint="eastAsia" w:ascii="宋体" w:hAnsi="宋体" w:cs="宋体"/>
                      <w:color w:val="auto"/>
                      <w:kern w:val="0"/>
                      <w:sz w:val="21"/>
                      <w:szCs w:val="21"/>
                      <w:lang w:val="en-US" w:eastAsia="zh-CN" w:bidi="ar"/>
                    </w:rPr>
                    <w:t>铸件抛丸清理</w:t>
                  </w:r>
                  <w:r>
                    <w:rPr>
                      <w:rFonts w:hint="eastAsia" w:ascii="宋体" w:hAnsi="宋体" w:eastAsia="宋体" w:cs="宋体"/>
                      <w:color w:val="auto"/>
                      <w:kern w:val="0"/>
                      <w:sz w:val="21"/>
                      <w:szCs w:val="21"/>
                      <w:lang w:val="en-US" w:eastAsia="zh-CN" w:bidi="ar"/>
                    </w:rPr>
                    <w:t>区北侧，占地面积为</w:t>
                  </w:r>
                  <w:r>
                    <w:rPr>
                      <w:rFonts w:hint="default" w:ascii="Times New Roman" w:hAnsi="Times New Roman" w:eastAsia="宋体" w:cs="Times New Roman"/>
                      <w:color w:val="auto"/>
                      <w:kern w:val="0"/>
                      <w:sz w:val="21"/>
                      <w:szCs w:val="21"/>
                      <w:lang w:val="en-US" w:eastAsia="zh-CN" w:bidi="ar"/>
                    </w:rPr>
                    <w:t>300m</w:t>
                  </w:r>
                  <w:r>
                    <w:rPr>
                      <w:rFonts w:hint="default" w:ascii="Times New Roman" w:hAnsi="Times New Roman" w:eastAsia="宋体" w:cs="Times New Roman"/>
                      <w:strike/>
                      <w:dstrike w:val="0"/>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，用于生铁、硅铁、</w:t>
                  </w:r>
                  <w:r>
                    <w:rPr>
                      <w:rFonts w:hint="eastAsia" w:ascii="宋体" w:hAnsi="宋体" w:cs="宋体"/>
                      <w:color w:val="auto"/>
                      <w:kern w:val="0"/>
                      <w:sz w:val="21"/>
                      <w:szCs w:val="21"/>
                      <w:lang w:val="en-US" w:eastAsia="zh-CN" w:bidi="ar"/>
                    </w:rPr>
                    <w:t>石英砂</w:t>
                  </w:r>
                  <w:r>
                    <w:rPr>
                      <w:rFonts w:hint="eastAsia" w:ascii="宋体" w:hAnsi="宋体" w:eastAsia="宋体" w:cs="宋体"/>
                      <w:color w:val="auto"/>
                      <w:kern w:val="0"/>
                      <w:sz w:val="21"/>
                      <w:szCs w:val="21"/>
                      <w:lang w:val="en-US" w:eastAsia="zh-CN" w:bidi="ar"/>
                    </w:rPr>
                    <w:t>等原</w:t>
                  </w:r>
                  <w:r>
                    <w:rPr>
                      <w:rFonts w:hint="eastAsia" w:ascii="宋体" w:hAnsi="宋体" w:cs="宋体"/>
                      <w:color w:val="auto"/>
                      <w:kern w:val="0"/>
                      <w:sz w:val="21"/>
                      <w:szCs w:val="21"/>
                      <w:lang w:val="en-US" w:eastAsia="zh-CN" w:bidi="ar"/>
                    </w:rPr>
                    <w:t>辅材</w:t>
                  </w:r>
                  <w:r>
                    <w:rPr>
                      <w:rFonts w:hint="eastAsia" w:ascii="宋体" w:hAnsi="宋体" w:eastAsia="宋体" w:cs="宋体"/>
                      <w:color w:val="auto"/>
                      <w:kern w:val="0"/>
                      <w:sz w:val="21"/>
                      <w:szCs w:val="21"/>
                      <w:lang w:val="en-US" w:eastAsia="zh-CN" w:bidi="ar"/>
                    </w:rPr>
                    <w:t>料及模具存储。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color w:val="auto"/>
                      <w:sz w:val="21"/>
                      <w:szCs w:val="21"/>
                      <w:lang w:eastAsia="zh-CN"/>
                    </w:rPr>
                  </w:pPr>
                </w:p>
              </w:tc>
              <w:tc>
                <w:tcPr>
                  <w:tcW w:w="1736" w:type="dxa"/>
                  <w:gridSpan w:val="2"/>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辅料库</w:t>
                  </w:r>
                </w:p>
              </w:tc>
              <w:tc>
                <w:tcPr>
                  <w:tcW w:w="5219" w:type="dxa"/>
                  <w:noWrap w:val="0"/>
                  <w:vAlign w:val="center"/>
                </w:tcPr>
                <w:p>
                  <w:pPr>
                    <w:keepNext w:val="0"/>
                    <w:keepLines w:val="0"/>
                    <w:widowControl/>
                    <w:suppressLineNumbers w:val="0"/>
                    <w:jc w:val="left"/>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位于车间西北角，占地面积</w:t>
                  </w:r>
                  <w:r>
                    <w:rPr>
                      <w:rFonts w:hint="default" w:ascii="Times New Roman" w:hAnsi="Times New Roman" w:eastAsia="宋体" w:cs="Times New Roman"/>
                      <w:color w:val="auto"/>
                      <w:kern w:val="0"/>
                      <w:sz w:val="21"/>
                      <w:szCs w:val="21"/>
                      <w:lang w:val="en-US" w:eastAsia="zh-CN" w:bidi="ar"/>
                    </w:rPr>
                    <w:t>20m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，用于树脂、固化剂、三乙胺的存放。</w:t>
                  </w:r>
                  <w:r>
                    <w:rPr>
                      <w:rFonts w:hint="eastAsia" w:ascii="宋体" w:hAnsi="宋体" w:cs="宋体"/>
                      <w:color w:val="auto"/>
                      <w:kern w:val="0"/>
                      <w:sz w:val="21"/>
                      <w:szCs w:val="21"/>
                      <w:lang w:val="en-US" w:eastAsia="zh-CN" w:bidi="ar"/>
                    </w:rPr>
                    <w:t>树脂、固化剂、三乙胺桶装暂存。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color w:val="auto"/>
                      <w:sz w:val="21"/>
                      <w:szCs w:val="21"/>
                      <w:lang w:eastAsia="zh-CN"/>
                    </w:rPr>
                  </w:pPr>
                </w:p>
              </w:tc>
              <w:tc>
                <w:tcPr>
                  <w:tcW w:w="1736" w:type="dxa"/>
                  <w:gridSpan w:val="2"/>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成品区</w:t>
                  </w:r>
                </w:p>
              </w:tc>
              <w:tc>
                <w:tcPr>
                  <w:tcW w:w="5219" w:type="dxa"/>
                  <w:noWrap w:val="0"/>
                  <w:vAlign w:val="center"/>
                </w:tcPr>
                <w:p>
                  <w:pPr>
                    <w:keepNext w:val="0"/>
                    <w:keepLines w:val="0"/>
                    <w:widowControl/>
                    <w:suppressLineNumbers w:val="0"/>
                    <w:jc w:val="left"/>
                    <w:rPr>
                      <w:rFonts w:hint="eastAsia" w:ascii="Times New Roman" w:hAnsi="Times New Roman" w:eastAsia="宋体" w:cs="Times New Roman"/>
                      <w:color w:val="auto"/>
                      <w:kern w:val="2"/>
                      <w:sz w:val="21"/>
                      <w:szCs w:val="22"/>
                      <w:lang w:val="en-US" w:eastAsia="zh-CN" w:bidi="ar-SA"/>
                    </w:rPr>
                  </w:pPr>
                  <w:r>
                    <w:rPr>
                      <w:rFonts w:hint="eastAsia" w:ascii="宋体" w:hAnsi="宋体" w:eastAsia="宋体" w:cs="宋体"/>
                      <w:color w:val="auto"/>
                      <w:kern w:val="0"/>
                      <w:sz w:val="21"/>
                      <w:szCs w:val="21"/>
                      <w:lang w:val="en-US" w:eastAsia="zh-CN" w:bidi="ar"/>
                    </w:rPr>
                    <w:t>位于</w:t>
                  </w:r>
                  <w:r>
                    <w:rPr>
                      <w:rFonts w:hint="eastAsia" w:ascii="宋体" w:hAnsi="宋体" w:cs="宋体"/>
                      <w:color w:val="auto"/>
                      <w:kern w:val="0"/>
                      <w:sz w:val="21"/>
                      <w:szCs w:val="21"/>
                      <w:lang w:val="en-US" w:eastAsia="zh-CN" w:bidi="ar"/>
                    </w:rPr>
                    <w:t>铸件抛丸清理</w:t>
                  </w:r>
                  <w:r>
                    <w:rPr>
                      <w:rFonts w:hint="eastAsia" w:ascii="宋体" w:hAnsi="宋体" w:eastAsia="宋体" w:cs="宋体"/>
                      <w:color w:val="auto"/>
                      <w:kern w:val="0"/>
                      <w:sz w:val="21"/>
                      <w:szCs w:val="21"/>
                      <w:lang w:val="en-US" w:eastAsia="zh-CN" w:bidi="ar"/>
                    </w:rPr>
                    <w:t>区</w:t>
                  </w:r>
                  <w:r>
                    <w:rPr>
                      <w:rFonts w:hint="eastAsia" w:ascii="宋体" w:hAnsi="宋体" w:cs="宋体"/>
                      <w:color w:val="auto"/>
                      <w:kern w:val="0"/>
                      <w:sz w:val="21"/>
                      <w:szCs w:val="21"/>
                      <w:lang w:val="en-US" w:eastAsia="zh-CN" w:bidi="ar"/>
                    </w:rPr>
                    <w:t>南</w:t>
                  </w:r>
                  <w:r>
                    <w:rPr>
                      <w:rFonts w:hint="eastAsia" w:ascii="宋体" w:hAnsi="宋体" w:eastAsia="宋体" w:cs="宋体"/>
                      <w:color w:val="auto"/>
                      <w:kern w:val="0"/>
                      <w:sz w:val="21"/>
                      <w:szCs w:val="21"/>
                      <w:lang w:val="en-US" w:eastAsia="zh-CN" w:bidi="ar"/>
                    </w:rPr>
                    <w:t xml:space="preserve">侧，占地面积 </w:t>
                  </w:r>
                  <w:r>
                    <w:rPr>
                      <w:rFonts w:hint="eastAsia" w:ascii="Times New Roman" w:hAnsi="Times New Roman" w:eastAsia="宋体" w:cs="Times New Roman"/>
                      <w:color w:val="auto"/>
                      <w:kern w:val="0"/>
                      <w:sz w:val="21"/>
                      <w:szCs w:val="21"/>
                      <w:lang w:val="en-US" w:eastAsia="zh-CN" w:bidi="ar"/>
                    </w:rPr>
                    <w:t>300</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，用于成品电机外壳的存放。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980" w:type="dxa"/>
                  <w:vMerge w:val="restart"/>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color w:val="auto"/>
                      <w:sz w:val="21"/>
                      <w:szCs w:val="21"/>
                    </w:rPr>
                  </w:pPr>
                  <w:r>
                    <w:rPr>
                      <w:color w:val="auto"/>
                      <w:sz w:val="21"/>
                      <w:szCs w:val="21"/>
                    </w:rPr>
                    <w:t>公用</w:t>
                  </w:r>
                </w:p>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color w:val="auto"/>
                      <w:sz w:val="21"/>
                      <w:szCs w:val="21"/>
                    </w:rPr>
                  </w:pPr>
                  <w:r>
                    <w:rPr>
                      <w:color w:val="auto"/>
                      <w:sz w:val="21"/>
                      <w:szCs w:val="21"/>
                    </w:rPr>
                    <w:t>工程</w:t>
                  </w:r>
                </w:p>
              </w:tc>
              <w:tc>
                <w:tcPr>
                  <w:tcW w:w="1736" w:type="dxa"/>
                  <w:gridSpan w:val="2"/>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color w:val="auto"/>
                      <w:lang w:val="en-US" w:eastAsia="zh-CN"/>
                    </w:rPr>
                  </w:pPr>
                  <w:r>
                    <w:rPr>
                      <w:rFonts w:hint="eastAsia"/>
                      <w:color w:val="auto"/>
                    </w:rPr>
                    <w:t>供水系统</w:t>
                  </w:r>
                </w:p>
              </w:tc>
              <w:tc>
                <w:tcPr>
                  <w:tcW w:w="5219" w:type="dxa"/>
                  <w:noWrap w:val="0"/>
                  <w:vAlign w:val="center"/>
                </w:tcPr>
                <w:p>
                  <w:pPr>
                    <w:pStyle w:val="68"/>
                    <w:bidi w:val="0"/>
                    <w:jc w:val="both"/>
                    <w:rPr>
                      <w:rFonts w:hint="default"/>
                      <w:color w:val="auto"/>
                      <w:lang w:val="en-US" w:eastAsia="zh-CN"/>
                    </w:rPr>
                  </w:pPr>
                  <w:r>
                    <w:rPr>
                      <w:rFonts w:hint="eastAsia"/>
                      <w:color w:val="auto"/>
                      <w:lang w:val="en-US" w:eastAsia="zh-CN"/>
                    </w:rPr>
                    <w:t>由翁墩乡供水管网提供。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color w:val="auto"/>
                      <w:sz w:val="21"/>
                      <w:szCs w:val="21"/>
                    </w:rPr>
                  </w:pPr>
                </w:p>
              </w:tc>
              <w:tc>
                <w:tcPr>
                  <w:tcW w:w="1736" w:type="dxa"/>
                  <w:gridSpan w:val="2"/>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color w:val="auto"/>
                      <w:lang w:val="en-US" w:eastAsia="zh-CN"/>
                    </w:rPr>
                  </w:pPr>
                  <w:r>
                    <w:rPr>
                      <w:rFonts w:hint="eastAsia"/>
                      <w:color w:val="auto"/>
                    </w:rPr>
                    <w:t>供电系统</w:t>
                  </w:r>
                </w:p>
              </w:tc>
              <w:tc>
                <w:tcPr>
                  <w:tcW w:w="5219" w:type="dxa"/>
                  <w:noWrap w:val="0"/>
                  <w:vAlign w:val="center"/>
                </w:tcPr>
                <w:p>
                  <w:pPr>
                    <w:pStyle w:val="68"/>
                    <w:bidi w:val="0"/>
                    <w:jc w:val="both"/>
                    <w:rPr>
                      <w:rFonts w:hint="default"/>
                      <w:color w:val="auto"/>
                      <w:lang w:val="en-US" w:eastAsia="zh-CN"/>
                    </w:rPr>
                  </w:pPr>
                  <w:r>
                    <w:rPr>
                      <w:rFonts w:hint="eastAsia"/>
                      <w:color w:val="auto"/>
                      <w:lang w:val="en-US" w:eastAsia="zh-CN"/>
                    </w:rPr>
                    <w:t>由翁墩乡电网提供。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color w:val="auto"/>
                      <w:sz w:val="21"/>
                      <w:szCs w:val="21"/>
                    </w:rPr>
                  </w:pPr>
                </w:p>
              </w:tc>
              <w:tc>
                <w:tcPr>
                  <w:tcW w:w="1736" w:type="dxa"/>
                  <w:gridSpan w:val="2"/>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color w:val="auto"/>
                      <w:lang w:eastAsia="zh-CN"/>
                    </w:rPr>
                  </w:pPr>
                  <w:r>
                    <w:rPr>
                      <w:rFonts w:hint="eastAsia"/>
                      <w:color w:val="auto"/>
                    </w:rPr>
                    <w:t>排水系统</w:t>
                  </w:r>
                </w:p>
              </w:tc>
              <w:tc>
                <w:tcPr>
                  <w:tcW w:w="5219" w:type="dxa"/>
                  <w:noWrap w:val="0"/>
                  <w:vAlign w:val="center"/>
                </w:tcPr>
                <w:p>
                  <w:pPr>
                    <w:pStyle w:val="68"/>
                    <w:bidi w:val="0"/>
                    <w:jc w:val="both"/>
                    <w:rPr>
                      <w:rFonts w:hint="default"/>
                      <w:color w:val="auto"/>
                      <w:lang w:val="en-US" w:eastAsia="zh-CN"/>
                    </w:rPr>
                  </w:pPr>
                  <w:r>
                    <w:rPr>
                      <w:rFonts w:hint="default"/>
                      <w:color w:val="auto"/>
                      <w:lang w:val="en-US" w:eastAsia="zh-CN"/>
                    </w:rPr>
                    <w:t>雨水收集</w:t>
                  </w:r>
                  <w:r>
                    <w:rPr>
                      <w:rFonts w:hint="eastAsia"/>
                      <w:color w:val="auto"/>
                      <w:lang w:val="en-US" w:eastAsia="zh-CN"/>
                    </w:rPr>
                    <w:t>进入厂区侧池塘</w:t>
                  </w:r>
                  <w:r>
                    <w:rPr>
                      <w:rFonts w:hint="default"/>
                      <w:color w:val="auto"/>
                      <w:lang w:val="en-US" w:eastAsia="zh-CN"/>
                    </w:rPr>
                    <w:t>；</w:t>
                  </w:r>
                  <w:r>
                    <w:rPr>
                      <w:rFonts w:hint="eastAsia"/>
                      <w:color w:val="auto"/>
                      <w:lang w:val="en-US" w:eastAsia="zh-CN"/>
                    </w:rPr>
                    <w:t>生活污水经旱厕处理后做农肥。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color w:val="auto"/>
                      <w:sz w:val="21"/>
                      <w:szCs w:val="21"/>
                    </w:rPr>
                  </w:pPr>
                </w:p>
              </w:tc>
              <w:tc>
                <w:tcPr>
                  <w:tcW w:w="1736" w:type="dxa"/>
                  <w:gridSpan w:val="2"/>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default" w:eastAsia="宋体"/>
                      <w:color w:val="auto"/>
                      <w:lang w:val="en-US" w:eastAsia="zh-CN"/>
                    </w:rPr>
                  </w:pPr>
                  <w:r>
                    <w:rPr>
                      <w:rFonts w:hint="eastAsia"/>
                      <w:color w:val="auto"/>
                      <w:lang w:val="en-US" w:eastAsia="zh-CN"/>
                    </w:rPr>
                    <w:t>循环水池</w:t>
                  </w:r>
                </w:p>
              </w:tc>
              <w:tc>
                <w:tcPr>
                  <w:tcW w:w="5219" w:type="dxa"/>
                  <w:noWrap w:val="0"/>
                  <w:vAlign w:val="center"/>
                </w:tcPr>
                <w:p>
                  <w:pPr>
                    <w:keepNext w:val="0"/>
                    <w:keepLines w:val="0"/>
                    <w:widowControl/>
                    <w:suppressLineNumbers w:val="0"/>
                    <w:jc w:val="left"/>
                    <w:rPr>
                      <w:rFonts w:hint="default"/>
                      <w:color w:val="auto"/>
                      <w:lang w:val="en-US" w:eastAsia="zh-CN"/>
                    </w:rPr>
                  </w:pPr>
                  <w:r>
                    <w:rPr>
                      <w:rFonts w:hint="eastAsia"/>
                      <w:color w:val="auto"/>
                      <w:lang w:val="en-US" w:eastAsia="zh-CN"/>
                    </w:rPr>
                    <w:t>厂区外西南角设置一座循环水池对中频炉进行冷却，规格为8m*8m*2m，容积为128m</w:t>
                  </w:r>
                  <w:r>
                    <w:rPr>
                      <w:rFonts w:hint="eastAsia"/>
                      <w:color w:val="auto"/>
                      <w:vertAlign w:val="superscript"/>
                      <w:lang w:val="en-US" w:eastAsia="zh-CN"/>
                    </w:rPr>
                    <w:t>3</w:t>
                  </w:r>
                  <w:r>
                    <w:rPr>
                      <w:rFonts w:hint="eastAsia"/>
                      <w:color w:val="auto"/>
                      <w:lang w:val="en-US" w:eastAsia="zh-CN"/>
                    </w:rPr>
                    <w:t>，循环水量为20m</w:t>
                  </w:r>
                  <w:r>
                    <w:rPr>
                      <w:rFonts w:hint="eastAsia"/>
                      <w:color w:val="auto"/>
                      <w:vertAlign w:val="superscript"/>
                      <w:lang w:val="en-US" w:eastAsia="zh-CN"/>
                    </w:rPr>
                    <w:t>3</w:t>
                  </w:r>
                  <w:r>
                    <w:rPr>
                      <w:rFonts w:hint="eastAsia"/>
                      <w:color w:val="auto"/>
                      <w:lang w:val="en-US" w:eastAsia="zh-CN"/>
                    </w:rPr>
                    <w:t>/h。</w:t>
                  </w:r>
                  <w:r>
                    <w:rPr>
                      <w:rFonts w:hint="eastAsia" w:ascii="宋体" w:hAnsi="宋体" w:eastAsia="宋体" w:cs="宋体"/>
                      <w:color w:val="auto"/>
                      <w:kern w:val="0"/>
                      <w:sz w:val="21"/>
                      <w:szCs w:val="21"/>
                      <w:lang w:val="en-US" w:eastAsia="zh-CN" w:bidi="ar"/>
                    </w:rPr>
                    <w:t>冷却水循环使用，定期进行补水，不外排。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80" w:type="dxa"/>
                  <w:vMerge w:val="restart"/>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b/>
                      <w:bCs/>
                      <w:color w:val="auto"/>
                      <w:sz w:val="21"/>
                      <w:szCs w:val="21"/>
                    </w:rPr>
                  </w:pPr>
                  <w:r>
                    <w:rPr>
                      <w:rFonts w:hint="eastAsia"/>
                      <w:b/>
                      <w:bCs/>
                      <w:color w:val="auto"/>
                      <w:sz w:val="21"/>
                      <w:szCs w:val="21"/>
                    </w:rPr>
                    <w:t>环保工程</w:t>
                  </w:r>
                </w:p>
              </w:tc>
              <w:tc>
                <w:tcPr>
                  <w:tcW w:w="911" w:type="dxa"/>
                  <w:vMerge w:val="restart"/>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rPr>
                  </w:pPr>
                  <w:r>
                    <w:rPr>
                      <w:rFonts w:hint="eastAsia"/>
                      <w:b/>
                      <w:bCs/>
                      <w:color w:val="auto"/>
                      <w:sz w:val="21"/>
                      <w:szCs w:val="21"/>
                      <w:lang w:eastAsia="zh-CN"/>
                    </w:rPr>
                    <w:t>废气</w:t>
                  </w:r>
                  <w:r>
                    <w:rPr>
                      <w:b/>
                      <w:bCs/>
                      <w:color w:val="auto"/>
                      <w:sz w:val="21"/>
                      <w:szCs w:val="21"/>
                    </w:rPr>
                    <w:t>治理</w:t>
                  </w:r>
                </w:p>
              </w:tc>
              <w:tc>
                <w:tcPr>
                  <w:tcW w:w="825" w:type="dxa"/>
                  <w:vMerge w:val="restart"/>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lang w:eastAsia="zh-CN"/>
                    </w:rPr>
                  </w:pPr>
                  <w:r>
                    <w:rPr>
                      <w:rFonts w:hint="eastAsia"/>
                      <w:b/>
                      <w:bCs/>
                      <w:color w:val="auto"/>
                      <w:sz w:val="21"/>
                      <w:szCs w:val="21"/>
                      <w:lang w:eastAsia="zh-CN"/>
                    </w:rPr>
                    <w:t>有</w:t>
                  </w:r>
                </w:p>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lang w:eastAsia="zh-CN"/>
                    </w:rPr>
                  </w:pPr>
                  <w:r>
                    <w:rPr>
                      <w:rFonts w:hint="eastAsia"/>
                      <w:b/>
                      <w:bCs/>
                      <w:color w:val="auto"/>
                      <w:sz w:val="21"/>
                      <w:szCs w:val="21"/>
                      <w:lang w:eastAsia="zh-CN"/>
                    </w:rPr>
                    <w:t>组</w:t>
                  </w:r>
                </w:p>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lang w:eastAsia="zh-CN"/>
                    </w:rPr>
                  </w:pPr>
                  <w:r>
                    <w:rPr>
                      <w:rFonts w:hint="eastAsia"/>
                      <w:b/>
                      <w:bCs/>
                      <w:color w:val="auto"/>
                      <w:sz w:val="21"/>
                      <w:szCs w:val="21"/>
                      <w:lang w:eastAsia="zh-CN"/>
                    </w:rPr>
                    <w:t>织</w:t>
                  </w:r>
                </w:p>
              </w:tc>
              <w:tc>
                <w:tcPr>
                  <w:tcW w:w="5219" w:type="dxa"/>
                  <w:noWrap w:val="0"/>
                  <w:vAlign w:val="center"/>
                </w:tcPr>
                <w:p>
                  <w:pPr>
                    <w:keepNext w:val="0"/>
                    <w:keepLines w:val="0"/>
                    <w:widowControl/>
                    <w:suppressLineNumbers w:val="0"/>
                    <w:jc w:val="left"/>
                    <w:rPr>
                      <w:rFonts w:hint="default"/>
                      <w:color w:val="auto"/>
                      <w:lang w:val="en-US" w:eastAsia="zh-CN"/>
                    </w:rPr>
                  </w:pPr>
                  <w:r>
                    <w:rPr>
                      <w:rFonts w:hint="eastAsia" w:ascii="宋体" w:hAnsi="宋体" w:eastAsia="宋体" w:cs="宋体"/>
                      <w:b/>
                      <w:bCs/>
                      <w:color w:val="auto"/>
                      <w:kern w:val="0"/>
                      <w:sz w:val="21"/>
                      <w:szCs w:val="21"/>
                      <w:lang w:val="en-US" w:eastAsia="zh-CN" w:bidi="ar"/>
                    </w:rPr>
                    <w:t>熔炼废气：</w:t>
                  </w:r>
                  <w:r>
                    <w:rPr>
                      <w:rFonts w:hint="eastAsia" w:ascii="宋体" w:hAnsi="宋体" w:eastAsia="宋体" w:cs="宋体"/>
                      <w:color w:val="auto"/>
                      <w:kern w:val="0"/>
                      <w:sz w:val="21"/>
                      <w:szCs w:val="21"/>
                      <w:lang w:val="en-US" w:eastAsia="zh-CN" w:bidi="ar"/>
                    </w:rPr>
                    <w:t>熔炼废气经集气罩收集后，经1套脉冲布袋除尘器处理经</w:t>
                  </w:r>
                  <w:r>
                    <w:rPr>
                      <w:rFonts w:hint="default" w:ascii="Times New Roman" w:hAnsi="Times New Roman" w:eastAsia="宋体" w:cs="Times New Roman"/>
                      <w:color w:val="auto"/>
                      <w:kern w:val="0"/>
                      <w:sz w:val="21"/>
                      <w:szCs w:val="21"/>
                      <w:lang w:val="en-US" w:eastAsia="zh-CN" w:bidi="ar"/>
                    </w:rPr>
                    <w:t xml:space="preserve">15m </w:t>
                  </w:r>
                  <w:r>
                    <w:rPr>
                      <w:rFonts w:hint="eastAsia" w:ascii="宋体" w:hAnsi="宋体" w:eastAsia="宋体" w:cs="宋体"/>
                      <w:color w:val="auto"/>
                      <w:kern w:val="0"/>
                      <w:sz w:val="21"/>
                      <w:szCs w:val="21"/>
                      <w:lang w:val="en-US" w:eastAsia="zh-CN" w:bidi="ar"/>
                    </w:rPr>
                    <w:t>高排气筒排放，</w:t>
                  </w:r>
                  <w:r>
                    <w:rPr>
                      <w:rFonts w:hint="eastAsia"/>
                      <w:b w:val="0"/>
                      <w:bCs w:val="0"/>
                      <w:color w:val="auto"/>
                      <w:lang w:val="en-US" w:eastAsia="zh-CN"/>
                    </w:rPr>
                    <w:t>除尘效率为99%</w:t>
                  </w:r>
                  <w:r>
                    <w:rPr>
                      <w:rFonts w:hint="eastAsia" w:ascii="宋体" w:hAnsi="宋体" w:eastAsia="宋体" w:cs="宋体"/>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rPr>
                  </w:pPr>
                </w:p>
              </w:tc>
              <w:tc>
                <w:tcPr>
                  <w:tcW w:w="911"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lang w:eastAsia="zh-CN"/>
                    </w:rPr>
                  </w:pPr>
                </w:p>
              </w:tc>
              <w:tc>
                <w:tcPr>
                  <w:tcW w:w="825"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lang w:eastAsia="zh-CN"/>
                    </w:rPr>
                  </w:pPr>
                </w:p>
              </w:tc>
              <w:tc>
                <w:tcPr>
                  <w:tcW w:w="5219" w:type="dxa"/>
                  <w:noWrap w:val="0"/>
                  <w:vAlign w:val="center"/>
                </w:tcPr>
                <w:p>
                  <w:pPr>
                    <w:rPr>
                      <w:rFonts w:hint="default"/>
                      <w:color w:val="auto"/>
                      <w:lang w:val="en-US" w:eastAsia="zh-CN"/>
                    </w:rPr>
                  </w:pPr>
                  <w:r>
                    <w:rPr>
                      <w:rFonts w:hint="eastAsia"/>
                      <w:b/>
                      <w:bCs/>
                      <w:color w:val="auto"/>
                      <w:lang w:val="en-US" w:eastAsia="zh-CN"/>
                    </w:rPr>
                    <w:t>铸件抛丸清理</w:t>
                  </w:r>
                  <w:r>
                    <w:rPr>
                      <w:rFonts w:hint="default"/>
                      <w:b/>
                      <w:bCs/>
                      <w:color w:val="auto"/>
                      <w:lang w:val="en-US" w:eastAsia="zh-CN"/>
                    </w:rPr>
                    <w:t>废气：</w:t>
                  </w:r>
                  <w:r>
                    <w:rPr>
                      <w:rFonts w:hint="eastAsia"/>
                      <w:b w:val="0"/>
                      <w:bCs w:val="0"/>
                      <w:color w:val="auto"/>
                      <w:lang w:val="en-US" w:eastAsia="zh-CN"/>
                    </w:rPr>
                    <w:t>铸件抛丸清理废气经自带1套</w:t>
                  </w:r>
                  <w:r>
                    <w:rPr>
                      <w:rFonts w:hint="eastAsia" w:ascii="宋体" w:hAnsi="宋体" w:eastAsia="宋体" w:cs="宋体"/>
                      <w:color w:val="auto"/>
                      <w:kern w:val="0"/>
                      <w:sz w:val="21"/>
                      <w:szCs w:val="21"/>
                      <w:lang w:val="en-US" w:eastAsia="zh-CN" w:bidi="ar"/>
                    </w:rPr>
                    <w:t>脉冲</w:t>
                  </w:r>
                  <w:r>
                    <w:rPr>
                      <w:rFonts w:hint="eastAsia"/>
                      <w:b w:val="0"/>
                      <w:bCs w:val="0"/>
                      <w:color w:val="auto"/>
                      <w:lang w:val="en-US" w:eastAsia="zh-CN"/>
                    </w:rPr>
                    <w:t>布袋除尘器处理后于</w:t>
                  </w:r>
                  <w:r>
                    <w:rPr>
                      <w:rFonts w:hint="default"/>
                      <w:b w:val="0"/>
                      <w:bCs w:val="0"/>
                      <w:color w:val="auto"/>
                      <w:lang w:val="en-US" w:eastAsia="zh-CN"/>
                    </w:rPr>
                    <w:t>15m高排气筒</w:t>
                  </w:r>
                  <w:r>
                    <w:rPr>
                      <w:rFonts w:hint="eastAsia"/>
                      <w:b w:val="0"/>
                      <w:bCs w:val="0"/>
                      <w:color w:val="auto"/>
                      <w:lang w:val="en-US" w:eastAsia="zh-CN"/>
                    </w:rPr>
                    <w:t>排放，除尘效率为99%。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rPr>
                  </w:pPr>
                </w:p>
              </w:tc>
              <w:tc>
                <w:tcPr>
                  <w:tcW w:w="911"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lang w:eastAsia="zh-CN"/>
                    </w:rPr>
                  </w:pPr>
                </w:p>
              </w:tc>
              <w:tc>
                <w:tcPr>
                  <w:tcW w:w="825"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lang w:eastAsia="zh-CN"/>
                    </w:rPr>
                  </w:pPr>
                </w:p>
              </w:tc>
              <w:tc>
                <w:tcPr>
                  <w:tcW w:w="5219" w:type="dxa"/>
                  <w:noWrap w:val="0"/>
                  <w:vAlign w:val="center"/>
                </w:tcPr>
                <w:p>
                  <w:pPr>
                    <w:keepNext w:val="0"/>
                    <w:keepLines w:val="0"/>
                    <w:widowControl/>
                    <w:suppressLineNumbers w:val="0"/>
                    <w:jc w:val="left"/>
                    <w:rPr>
                      <w:rFonts w:hint="default"/>
                      <w:b/>
                      <w:bCs/>
                      <w:color w:val="auto"/>
                      <w:lang w:val="en-US" w:eastAsia="zh-CN"/>
                    </w:rPr>
                  </w:pPr>
                  <w:r>
                    <w:rPr>
                      <w:rFonts w:hint="eastAsia" w:ascii="宋体" w:hAnsi="宋体" w:cs="宋体"/>
                      <w:b/>
                      <w:bCs/>
                      <w:color w:val="auto"/>
                      <w:kern w:val="0"/>
                      <w:sz w:val="21"/>
                      <w:szCs w:val="21"/>
                      <w:lang w:val="en-US" w:eastAsia="zh-CN" w:bidi="ar"/>
                    </w:rPr>
                    <w:t>浇注</w:t>
                  </w:r>
                  <w:r>
                    <w:rPr>
                      <w:rFonts w:hint="eastAsia" w:ascii="宋体" w:hAnsi="宋体" w:eastAsia="宋体" w:cs="宋体"/>
                      <w:b/>
                      <w:bCs/>
                      <w:color w:val="auto"/>
                      <w:kern w:val="0"/>
                      <w:sz w:val="21"/>
                      <w:szCs w:val="21"/>
                      <w:lang w:val="en-US" w:eastAsia="zh-CN" w:bidi="ar"/>
                    </w:rPr>
                    <w:t>、砂处理等废气</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砂处理、浇注</w:t>
                  </w:r>
                  <w:r>
                    <w:rPr>
                      <w:rFonts w:hint="eastAsia" w:ascii="宋体" w:hAnsi="宋体" w:eastAsia="宋体" w:cs="宋体"/>
                      <w:color w:val="auto"/>
                      <w:kern w:val="0"/>
                      <w:sz w:val="21"/>
                      <w:szCs w:val="21"/>
                      <w:lang w:val="en-US" w:eastAsia="zh-CN" w:bidi="ar"/>
                    </w:rPr>
                    <w:t>废气经集气罩收集后，经1套布袋除尘器处理后</w:t>
                  </w:r>
                  <w:r>
                    <w:rPr>
                      <w:rFonts w:hint="eastAsia"/>
                      <w:color w:val="auto"/>
                      <w:lang w:val="en-US" w:eastAsia="zh-CN"/>
                    </w:rPr>
                    <w:t>于</w:t>
                  </w:r>
                  <w:r>
                    <w:rPr>
                      <w:rFonts w:hint="default" w:ascii="Times New Roman" w:hAnsi="Times New Roman" w:eastAsia="宋体" w:cs="Times New Roman"/>
                      <w:color w:val="auto"/>
                      <w:kern w:val="0"/>
                      <w:sz w:val="21"/>
                      <w:szCs w:val="21"/>
                      <w:lang w:val="en-US" w:eastAsia="zh-CN" w:bidi="ar"/>
                    </w:rPr>
                    <w:t xml:space="preserve">15m </w:t>
                  </w:r>
                  <w:r>
                    <w:rPr>
                      <w:rFonts w:hint="eastAsia" w:ascii="宋体" w:hAnsi="宋体" w:eastAsia="宋体" w:cs="宋体"/>
                      <w:color w:val="auto"/>
                      <w:kern w:val="0"/>
                      <w:sz w:val="21"/>
                      <w:szCs w:val="21"/>
                      <w:lang w:val="en-US" w:eastAsia="zh-CN" w:bidi="ar"/>
                    </w:rPr>
                    <w:t>高排气筒排放，</w:t>
                  </w:r>
                  <w:r>
                    <w:rPr>
                      <w:rFonts w:hint="eastAsia"/>
                      <w:color w:val="auto"/>
                      <w:lang w:val="en-US" w:eastAsia="zh-CN"/>
                    </w:rPr>
                    <w:t>除尘效率为99%</w:t>
                  </w:r>
                  <w:r>
                    <w:rPr>
                      <w:rFonts w:hint="eastAsia" w:ascii="宋体" w:hAnsi="宋体" w:eastAsia="宋体" w:cs="宋体"/>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rPr>
                  </w:pPr>
                </w:p>
              </w:tc>
              <w:tc>
                <w:tcPr>
                  <w:tcW w:w="911"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lang w:eastAsia="zh-CN"/>
                    </w:rPr>
                  </w:pPr>
                </w:p>
              </w:tc>
              <w:tc>
                <w:tcPr>
                  <w:tcW w:w="825"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lang w:eastAsia="zh-CN"/>
                    </w:rPr>
                  </w:pPr>
                </w:p>
              </w:tc>
              <w:tc>
                <w:tcPr>
                  <w:tcW w:w="5219" w:type="dxa"/>
                  <w:noWrap w:val="0"/>
                  <w:vAlign w:val="center"/>
                </w:tcPr>
                <w:p>
                  <w:pPr>
                    <w:keepNext w:val="0"/>
                    <w:keepLines w:val="0"/>
                    <w:widowControl/>
                    <w:suppressLineNumbers w:val="0"/>
                    <w:jc w:val="left"/>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冷芯盒</w:t>
                  </w:r>
                  <w:r>
                    <w:rPr>
                      <w:rFonts w:hint="eastAsia" w:ascii="宋体" w:hAnsi="宋体" w:cs="宋体"/>
                      <w:b/>
                      <w:bCs/>
                      <w:color w:val="auto"/>
                      <w:kern w:val="0"/>
                      <w:sz w:val="21"/>
                      <w:szCs w:val="21"/>
                      <w:lang w:val="en-US" w:eastAsia="zh-CN" w:bidi="ar"/>
                    </w:rPr>
                    <w:t>制芯废气</w:t>
                  </w:r>
                  <w:r>
                    <w:rPr>
                      <w:rFonts w:hint="eastAsia" w:ascii="宋体" w:hAnsi="宋体" w:eastAsia="宋体" w:cs="宋体"/>
                      <w:b/>
                      <w:bCs/>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三乙胺采用集气罩</w:t>
                  </w:r>
                  <w:r>
                    <w:rPr>
                      <w:rFonts w:hint="default" w:ascii="Times New Roman" w:hAnsi="Times New Roman" w:eastAsia="宋体" w:cs="Times New Roman"/>
                      <w:color w:val="auto"/>
                      <w:kern w:val="0"/>
                      <w:sz w:val="21"/>
                      <w:szCs w:val="21"/>
                      <w:lang w:val="en-US" w:eastAsia="zh-CN" w:bidi="ar"/>
                    </w:rPr>
                    <w:t>+</w:t>
                  </w:r>
                  <w:r>
                    <w:rPr>
                      <w:rFonts w:hint="eastAsia" w:ascii="宋体" w:hAnsi="宋体" w:cs="宋体"/>
                      <w:color w:val="auto"/>
                      <w:kern w:val="0"/>
                      <w:sz w:val="21"/>
                      <w:szCs w:val="21"/>
                      <w:lang w:val="en-US" w:eastAsia="zh-CN" w:bidi="ar"/>
                    </w:rPr>
                    <w:t>滤芯除尘器</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磷酸喷淋吸收净化塔工艺</w:t>
                  </w:r>
                  <w:r>
                    <w:rPr>
                      <w:rFonts w:hint="eastAsia" w:ascii="宋体" w:hAnsi="宋体" w:eastAsia="宋体" w:cs="宋体"/>
                      <w:color w:val="auto"/>
                      <w:kern w:val="0"/>
                      <w:sz w:val="21"/>
                      <w:szCs w:val="21"/>
                      <w:lang w:val="en-US" w:eastAsia="zh-CN" w:bidi="ar"/>
                    </w:rPr>
                    <w:t>处理后，经</w:t>
                  </w:r>
                  <w:r>
                    <w:rPr>
                      <w:rFonts w:hint="default" w:ascii="Times New Roman" w:hAnsi="Times New Roman" w:eastAsia="宋体" w:cs="Times New Roman"/>
                      <w:color w:val="auto"/>
                      <w:kern w:val="0"/>
                      <w:sz w:val="21"/>
                      <w:szCs w:val="21"/>
                      <w:lang w:val="en-US" w:eastAsia="zh-CN" w:bidi="ar"/>
                    </w:rPr>
                    <w:t xml:space="preserve">15m </w:t>
                  </w:r>
                  <w:r>
                    <w:rPr>
                      <w:rFonts w:hint="eastAsia" w:ascii="宋体" w:hAnsi="宋体" w:eastAsia="宋体" w:cs="宋体"/>
                      <w:color w:val="auto"/>
                      <w:kern w:val="0"/>
                      <w:sz w:val="21"/>
                      <w:szCs w:val="21"/>
                      <w:lang w:val="en-US" w:eastAsia="zh-CN" w:bidi="ar"/>
                    </w:rPr>
                    <w:t>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rPr>
                  </w:pPr>
                </w:p>
              </w:tc>
              <w:tc>
                <w:tcPr>
                  <w:tcW w:w="911"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lang w:eastAsia="zh-CN"/>
                    </w:rPr>
                  </w:pPr>
                </w:p>
              </w:tc>
              <w:tc>
                <w:tcPr>
                  <w:tcW w:w="825" w:type="dxa"/>
                  <w:vMerge w:val="restart"/>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ind w:left="-105" w:leftChars="-50" w:right="-105" w:rightChars="-50"/>
                    <w:textAlignment w:val="auto"/>
                    <w:rPr>
                      <w:rFonts w:hint="eastAsia"/>
                      <w:b/>
                      <w:bCs/>
                      <w:color w:val="auto"/>
                      <w:sz w:val="21"/>
                      <w:szCs w:val="21"/>
                      <w:lang w:eastAsia="zh-CN"/>
                    </w:rPr>
                  </w:pPr>
                  <w:r>
                    <w:rPr>
                      <w:rFonts w:hint="eastAsia"/>
                      <w:b/>
                      <w:bCs/>
                      <w:color w:val="auto"/>
                      <w:sz w:val="21"/>
                      <w:szCs w:val="21"/>
                      <w:lang w:eastAsia="zh-CN"/>
                    </w:rPr>
                    <w:t>无</w:t>
                  </w:r>
                </w:p>
                <w:p>
                  <w:pPr>
                    <w:pStyle w:val="68"/>
                    <w:keepNext w:val="0"/>
                    <w:keepLines w:val="0"/>
                    <w:pageBreakBefore w:val="0"/>
                    <w:widowControl/>
                    <w:kinsoku/>
                    <w:wordWrap/>
                    <w:overflowPunct/>
                    <w:topLinePunct w:val="0"/>
                    <w:autoSpaceDE/>
                    <w:autoSpaceDN/>
                    <w:bidi w:val="0"/>
                    <w:adjustRightInd/>
                    <w:snapToGrid/>
                    <w:spacing w:line="240" w:lineRule="auto"/>
                    <w:ind w:left="-105" w:leftChars="-50" w:right="-105" w:rightChars="-50"/>
                    <w:textAlignment w:val="auto"/>
                    <w:rPr>
                      <w:rFonts w:hint="eastAsia"/>
                      <w:b/>
                      <w:bCs/>
                      <w:color w:val="auto"/>
                      <w:sz w:val="21"/>
                      <w:szCs w:val="21"/>
                      <w:lang w:eastAsia="zh-CN"/>
                    </w:rPr>
                  </w:pPr>
                  <w:r>
                    <w:rPr>
                      <w:rFonts w:hint="eastAsia"/>
                      <w:b/>
                      <w:bCs/>
                      <w:color w:val="auto"/>
                      <w:sz w:val="21"/>
                      <w:szCs w:val="21"/>
                      <w:lang w:eastAsia="zh-CN"/>
                    </w:rPr>
                    <w:t>组</w:t>
                  </w:r>
                </w:p>
                <w:p>
                  <w:pPr>
                    <w:pStyle w:val="68"/>
                    <w:keepNext w:val="0"/>
                    <w:keepLines w:val="0"/>
                    <w:pageBreakBefore w:val="0"/>
                    <w:widowControl/>
                    <w:kinsoku/>
                    <w:wordWrap/>
                    <w:overflowPunct/>
                    <w:topLinePunct w:val="0"/>
                    <w:autoSpaceDE/>
                    <w:autoSpaceDN/>
                    <w:bidi w:val="0"/>
                    <w:adjustRightInd/>
                    <w:snapToGrid/>
                    <w:spacing w:line="240" w:lineRule="auto"/>
                    <w:ind w:left="-105" w:leftChars="-50" w:right="-105" w:rightChars="-50"/>
                    <w:textAlignment w:val="auto"/>
                    <w:rPr>
                      <w:rFonts w:hint="eastAsia"/>
                      <w:b/>
                      <w:bCs/>
                      <w:color w:val="auto"/>
                      <w:sz w:val="21"/>
                      <w:szCs w:val="21"/>
                      <w:lang w:eastAsia="zh-CN"/>
                    </w:rPr>
                  </w:pPr>
                  <w:r>
                    <w:rPr>
                      <w:rFonts w:hint="eastAsia"/>
                      <w:b/>
                      <w:bCs/>
                      <w:color w:val="auto"/>
                      <w:sz w:val="21"/>
                      <w:szCs w:val="21"/>
                      <w:lang w:eastAsia="zh-CN"/>
                    </w:rPr>
                    <w:t>织</w:t>
                  </w:r>
                </w:p>
              </w:tc>
              <w:tc>
                <w:tcPr>
                  <w:tcW w:w="5219" w:type="dxa"/>
                  <w:noWrap w:val="0"/>
                  <w:vAlign w:val="center"/>
                </w:tcPr>
                <w:p>
                  <w:pPr>
                    <w:spacing w:line="240" w:lineRule="auto"/>
                    <w:rPr>
                      <w:rFonts w:hint="default"/>
                      <w:b/>
                      <w:bCs/>
                      <w:color w:val="auto"/>
                      <w:lang w:val="en-US" w:eastAsia="zh-CN"/>
                    </w:rPr>
                  </w:pPr>
                  <w:r>
                    <w:rPr>
                      <w:rFonts w:hint="default"/>
                      <w:b w:val="0"/>
                      <w:bCs w:val="0"/>
                      <w:color w:val="auto"/>
                      <w:lang w:val="en-US" w:eastAsia="zh-CN"/>
                    </w:rPr>
                    <w:t>膨润土</w:t>
                  </w:r>
                  <w:r>
                    <w:rPr>
                      <w:rFonts w:hint="eastAsia"/>
                      <w:b w:val="0"/>
                      <w:bCs w:val="0"/>
                      <w:color w:val="auto"/>
                      <w:lang w:val="en-US" w:eastAsia="zh-CN"/>
                    </w:rPr>
                    <w:t>、硅砂</w:t>
                  </w:r>
                  <w:r>
                    <w:rPr>
                      <w:rFonts w:hint="default"/>
                      <w:b w:val="0"/>
                      <w:bCs w:val="0"/>
                      <w:color w:val="auto"/>
                      <w:lang w:val="en-US" w:eastAsia="zh-CN"/>
                    </w:rPr>
                    <w:t>等粉状物料袋装，储存于</w:t>
                  </w:r>
                  <w:r>
                    <w:rPr>
                      <w:rFonts w:hint="eastAsia"/>
                      <w:b w:val="0"/>
                      <w:bCs w:val="0"/>
                      <w:color w:val="auto"/>
                      <w:lang w:val="en-US" w:eastAsia="zh-CN"/>
                    </w:rPr>
                    <w:t>厂房内原料区。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rPr>
                  </w:pPr>
                </w:p>
              </w:tc>
              <w:tc>
                <w:tcPr>
                  <w:tcW w:w="911"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lang w:eastAsia="zh-CN"/>
                    </w:rPr>
                  </w:pPr>
                </w:p>
              </w:tc>
              <w:tc>
                <w:tcPr>
                  <w:tcW w:w="825"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ind w:left="-105" w:leftChars="-50" w:right="-105" w:rightChars="-50"/>
                    <w:textAlignment w:val="auto"/>
                    <w:rPr>
                      <w:rFonts w:hint="eastAsia"/>
                      <w:b/>
                      <w:bCs/>
                      <w:color w:val="auto"/>
                      <w:sz w:val="21"/>
                      <w:szCs w:val="21"/>
                      <w:lang w:eastAsia="zh-CN"/>
                    </w:rPr>
                  </w:pPr>
                </w:p>
              </w:tc>
              <w:tc>
                <w:tcPr>
                  <w:tcW w:w="5219" w:type="dxa"/>
                  <w:noWrap w:val="0"/>
                  <w:vAlign w:val="center"/>
                </w:tcPr>
                <w:p>
                  <w:pPr>
                    <w:spacing w:line="240" w:lineRule="auto"/>
                    <w:rPr>
                      <w:rFonts w:hint="default"/>
                      <w:b w:val="0"/>
                      <w:bCs w:val="0"/>
                      <w:color w:val="auto"/>
                      <w:lang w:val="en-US" w:eastAsia="zh-CN"/>
                    </w:rPr>
                  </w:pPr>
                  <w:r>
                    <w:rPr>
                      <w:rFonts w:hint="eastAsia"/>
                      <w:b w:val="0"/>
                      <w:bCs w:val="0"/>
                      <w:color w:val="auto"/>
                      <w:lang w:val="en-US" w:eastAsia="zh-CN"/>
                    </w:rPr>
                    <w:t>砂处理</w:t>
                  </w:r>
                  <w:r>
                    <w:rPr>
                      <w:rFonts w:hint="default"/>
                      <w:b w:val="0"/>
                      <w:bCs w:val="0"/>
                      <w:color w:val="auto"/>
                      <w:lang w:val="en-US" w:eastAsia="zh-CN"/>
                    </w:rPr>
                    <w:t>输送带进行全封闭</w:t>
                  </w:r>
                  <w:r>
                    <w:rPr>
                      <w:rFonts w:hint="eastAsia"/>
                      <w:b w:val="0"/>
                      <w:bCs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rPr>
                  </w:pPr>
                </w:p>
              </w:tc>
              <w:tc>
                <w:tcPr>
                  <w:tcW w:w="911" w:type="dxa"/>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b/>
                      <w:bCs/>
                      <w:color w:val="auto"/>
                      <w:sz w:val="21"/>
                      <w:szCs w:val="21"/>
                      <w:lang w:eastAsia="zh-CN"/>
                    </w:rPr>
                  </w:pPr>
                </w:p>
              </w:tc>
              <w:tc>
                <w:tcPr>
                  <w:tcW w:w="825"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ind w:left="-105" w:leftChars="-50" w:right="-105" w:rightChars="-50"/>
                    <w:textAlignment w:val="auto"/>
                    <w:rPr>
                      <w:rFonts w:hint="eastAsia"/>
                      <w:b/>
                      <w:bCs/>
                      <w:color w:val="auto"/>
                      <w:sz w:val="21"/>
                      <w:szCs w:val="21"/>
                      <w:lang w:eastAsia="zh-CN"/>
                    </w:rPr>
                  </w:pPr>
                </w:p>
              </w:tc>
              <w:tc>
                <w:tcPr>
                  <w:tcW w:w="5219" w:type="dxa"/>
                  <w:noWrap w:val="0"/>
                  <w:vAlign w:val="center"/>
                </w:tcPr>
                <w:p>
                  <w:pPr>
                    <w:spacing w:line="240" w:lineRule="auto"/>
                    <w:rPr>
                      <w:rFonts w:hint="eastAsia"/>
                      <w:b w:val="0"/>
                      <w:bCs w:val="0"/>
                      <w:color w:val="auto"/>
                      <w:lang w:val="en-US" w:eastAsia="zh-CN"/>
                    </w:rPr>
                  </w:pPr>
                  <w:r>
                    <w:rPr>
                      <w:rFonts w:hint="eastAsia"/>
                      <w:b w:val="0"/>
                      <w:bCs w:val="0"/>
                      <w:color w:val="auto"/>
                      <w:lang w:val="en-US" w:eastAsia="zh-CN"/>
                    </w:rPr>
                    <w:t>尘器卸灰口采取遮挡措施，除尘灰不得直接卸落到地面。除尘灰采取袋装、罐装等密闭措施收集、存放和运输。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eastAsia"/>
                      <w:color w:val="auto"/>
                      <w:sz w:val="21"/>
                      <w:szCs w:val="21"/>
                    </w:rPr>
                  </w:pPr>
                </w:p>
              </w:tc>
              <w:tc>
                <w:tcPr>
                  <w:tcW w:w="1736" w:type="dxa"/>
                  <w:gridSpan w:val="2"/>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废水治理</w:t>
                  </w:r>
                </w:p>
              </w:tc>
              <w:tc>
                <w:tcPr>
                  <w:tcW w:w="5219" w:type="dxa"/>
                  <w:noWrap w:val="0"/>
                  <w:vAlign w:val="center"/>
                </w:tcPr>
                <w:p>
                  <w:pPr>
                    <w:pStyle w:val="68"/>
                    <w:bidi w:val="0"/>
                    <w:jc w:val="both"/>
                    <w:rPr>
                      <w:rFonts w:hint="default" w:ascii="Times New Roman" w:hAnsi="Times New Roman" w:eastAsia="宋体" w:cs="Times New Roman"/>
                      <w:color w:val="auto"/>
                      <w:kern w:val="2"/>
                      <w:sz w:val="21"/>
                      <w:szCs w:val="22"/>
                      <w:lang w:val="en-US" w:eastAsia="zh-CN" w:bidi="ar-SA"/>
                    </w:rPr>
                  </w:pPr>
                  <w:r>
                    <w:rPr>
                      <w:rFonts w:hint="default"/>
                      <w:b/>
                      <w:bCs/>
                      <w:color w:val="auto"/>
                      <w:lang w:val="en-US" w:eastAsia="zh-CN"/>
                    </w:rPr>
                    <w:t>生活污水</w:t>
                  </w:r>
                  <w:r>
                    <w:rPr>
                      <w:rFonts w:hint="eastAsia"/>
                      <w:b/>
                      <w:bCs/>
                      <w:color w:val="auto"/>
                      <w:lang w:val="en-US" w:eastAsia="zh-CN"/>
                    </w:rPr>
                    <w:t>：</w:t>
                  </w:r>
                  <w:r>
                    <w:rPr>
                      <w:rFonts w:hint="eastAsia"/>
                      <w:color w:val="auto"/>
                      <w:lang w:val="en-US" w:eastAsia="zh-CN"/>
                    </w:rPr>
                    <w:t>经旱厕处理后作为农肥利用。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color w:val="auto"/>
                      <w:sz w:val="21"/>
                      <w:szCs w:val="21"/>
                    </w:rPr>
                  </w:pPr>
                </w:p>
              </w:tc>
              <w:tc>
                <w:tcPr>
                  <w:tcW w:w="1736" w:type="dxa"/>
                  <w:gridSpan w:val="2"/>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ascii="Times New Roman" w:hAnsi="Times New Roman" w:eastAsia="宋体" w:cs="Times New Roman"/>
                      <w:color w:val="auto"/>
                      <w:kern w:val="2"/>
                      <w:sz w:val="21"/>
                      <w:szCs w:val="21"/>
                      <w:lang w:val="en-US" w:eastAsia="zh-CN" w:bidi="ar-SA"/>
                    </w:rPr>
                  </w:pPr>
                  <w:r>
                    <w:rPr>
                      <w:color w:val="auto"/>
                      <w:sz w:val="21"/>
                      <w:szCs w:val="21"/>
                    </w:rPr>
                    <w:t>噪声治理</w:t>
                  </w:r>
                </w:p>
              </w:tc>
              <w:tc>
                <w:tcPr>
                  <w:tcW w:w="5219" w:type="dxa"/>
                  <w:noWrap w:val="0"/>
                  <w:vAlign w:val="center"/>
                </w:tcPr>
                <w:p>
                  <w:pPr>
                    <w:pStyle w:val="68"/>
                    <w:bidi w:val="0"/>
                    <w:jc w:val="left"/>
                    <w:rPr>
                      <w:color w:val="auto"/>
                      <w:sz w:val="21"/>
                      <w:szCs w:val="21"/>
                    </w:rPr>
                  </w:pPr>
                  <w:r>
                    <w:rPr>
                      <w:rFonts w:hint="eastAsia"/>
                      <w:color w:val="auto"/>
                      <w:sz w:val="21"/>
                      <w:szCs w:val="21"/>
                      <w:lang w:val="en-US" w:eastAsia="zh-CN"/>
                    </w:rPr>
                    <w:t>对</w:t>
                  </w:r>
                  <w:r>
                    <w:rPr>
                      <w:rFonts w:hint="eastAsia"/>
                      <w:color w:val="auto"/>
                      <w:sz w:val="21"/>
                      <w:szCs w:val="21"/>
                      <w:lang w:eastAsia="zh-CN"/>
                    </w:rPr>
                    <w:t>高噪声设备加装</w:t>
                  </w:r>
                  <w:r>
                    <w:rPr>
                      <w:rFonts w:hint="eastAsia"/>
                      <w:color w:val="auto"/>
                      <w:sz w:val="21"/>
                      <w:szCs w:val="21"/>
                    </w:rPr>
                    <w:t>减振</w:t>
                  </w:r>
                  <w:r>
                    <w:rPr>
                      <w:rFonts w:hint="eastAsia"/>
                      <w:color w:val="auto"/>
                      <w:sz w:val="21"/>
                      <w:szCs w:val="21"/>
                      <w:lang w:eastAsia="zh-CN"/>
                    </w:rPr>
                    <w:t>垫，</w:t>
                  </w:r>
                  <w:r>
                    <w:rPr>
                      <w:rFonts w:hint="eastAsia"/>
                      <w:color w:val="auto"/>
                      <w:sz w:val="21"/>
                      <w:szCs w:val="21"/>
                      <w:lang w:val="en-US" w:eastAsia="zh-CN"/>
                    </w:rPr>
                    <w:t>经过</w:t>
                  </w:r>
                  <w:r>
                    <w:rPr>
                      <w:rFonts w:hint="eastAsia"/>
                      <w:color w:val="auto"/>
                      <w:sz w:val="21"/>
                      <w:szCs w:val="21"/>
                    </w:rPr>
                    <w:t>厂房隔声</w:t>
                  </w:r>
                  <w:r>
                    <w:rPr>
                      <w:rFonts w:hint="eastAsia"/>
                      <w:color w:val="auto"/>
                      <w:sz w:val="21"/>
                      <w:szCs w:val="21"/>
                      <w:lang w:eastAsia="zh-CN"/>
                    </w:rPr>
                    <w:t>、距离衰减等</w:t>
                  </w:r>
                  <w:r>
                    <w:rPr>
                      <w:rFonts w:hint="eastAsia"/>
                      <w:color w:val="auto"/>
                      <w:sz w:val="21"/>
                      <w:szCs w:val="21"/>
                      <w:lang w:val="en-US" w:eastAsia="zh-CN"/>
                    </w:rPr>
                    <w:t>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color w:val="auto"/>
                      <w:sz w:val="21"/>
                      <w:szCs w:val="21"/>
                    </w:rPr>
                  </w:pPr>
                </w:p>
              </w:tc>
              <w:tc>
                <w:tcPr>
                  <w:tcW w:w="1736" w:type="dxa"/>
                  <w:gridSpan w:val="2"/>
                  <w:vMerge w:val="restart"/>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lang w:eastAsia="zh-CN"/>
                    </w:rPr>
                    <w:t>固体废物处置</w:t>
                  </w:r>
                </w:p>
              </w:tc>
              <w:tc>
                <w:tcPr>
                  <w:tcW w:w="5219" w:type="dxa"/>
                  <w:noWrap w:val="0"/>
                  <w:vAlign w:val="center"/>
                </w:tcPr>
                <w:p>
                  <w:pPr>
                    <w:pStyle w:val="68"/>
                    <w:bidi w:val="0"/>
                    <w:jc w:val="both"/>
                    <w:rPr>
                      <w:rFonts w:hint="eastAsia" w:ascii="Times New Roman" w:hAnsi="Times New Roman" w:eastAsia="宋体" w:cs="Times New Roman"/>
                      <w:color w:val="auto"/>
                      <w:kern w:val="2"/>
                      <w:sz w:val="21"/>
                      <w:szCs w:val="21"/>
                      <w:lang w:val="en-US" w:eastAsia="zh-CN" w:bidi="ar-SA"/>
                    </w:rPr>
                  </w:pPr>
                  <w:r>
                    <w:rPr>
                      <w:rFonts w:hint="eastAsia"/>
                      <w:b/>
                      <w:bCs/>
                      <w:color w:val="auto"/>
                      <w:sz w:val="21"/>
                      <w:szCs w:val="21"/>
                      <w:lang w:eastAsia="zh-CN"/>
                    </w:rPr>
                    <w:t>一般工业固体废物：</w:t>
                  </w:r>
                  <w:r>
                    <w:rPr>
                      <w:rFonts w:hint="eastAsia"/>
                      <w:color w:val="auto"/>
                      <w:sz w:val="21"/>
                      <w:szCs w:val="21"/>
                      <w:lang w:val="en-US" w:eastAsia="zh-CN"/>
                    </w:rPr>
                    <w:t>1间30</w:t>
                  </w:r>
                  <w:r>
                    <w:rPr>
                      <w:rFonts w:hint="eastAsia"/>
                      <w:color w:val="auto"/>
                      <w:sz w:val="21"/>
                      <w:szCs w:val="21"/>
                      <w:lang w:eastAsia="zh-CN"/>
                    </w:rPr>
                    <w:t>m</w:t>
                  </w:r>
                  <w:r>
                    <w:rPr>
                      <w:rFonts w:hint="eastAsia"/>
                      <w:color w:val="auto"/>
                      <w:sz w:val="21"/>
                      <w:szCs w:val="21"/>
                      <w:vertAlign w:val="superscript"/>
                      <w:lang w:eastAsia="zh-CN"/>
                    </w:rPr>
                    <w:t>2</w:t>
                  </w:r>
                  <w:r>
                    <w:rPr>
                      <w:rFonts w:hint="eastAsia"/>
                      <w:color w:val="auto"/>
                      <w:sz w:val="21"/>
                      <w:szCs w:val="21"/>
                      <w:lang w:eastAsia="zh-CN"/>
                    </w:rPr>
                    <w:t>的一般工业固体废物暂存间，位于</w:t>
                  </w:r>
                  <w:r>
                    <w:rPr>
                      <w:rFonts w:hint="eastAsia"/>
                      <w:color w:val="auto"/>
                      <w:sz w:val="21"/>
                      <w:szCs w:val="21"/>
                      <w:lang w:val="en-US" w:eastAsia="zh-CN"/>
                    </w:rPr>
                    <w:t>车间西北侧</w:t>
                  </w:r>
                  <w:r>
                    <w:rPr>
                      <w:rFonts w:hint="eastAsia"/>
                      <w:color w:val="auto"/>
                      <w:sz w:val="21"/>
                      <w:szCs w:val="21"/>
                      <w:lang w:eastAsia="zh-CN"/>
                    </w:rPr>
                    <w:t>，一般工业固体废物分类收集暂存，定期外售综合利用。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color w:val="auto"/>
                      <w:sz w:val="21"/>
                      <w:szCs w:val="21"/>
                    </w:rPr>
                  </w:pPr>
                </w:p>
              </w:tc>
              <w:tc>
                <w:tcPr>
                  <w:tcW w:w="1736" w:type="dxa"/>
                  <w:gridSpan w:val="2"/>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color w:val="auto"/>
                      <w:sz w:val="21"/>
                      <w:szCs w:val="21"/>
                    </w:rPr>
                  </w:pPr>
                </w:p>
              </w:tc>
              <w:tc>
                <w:tcPr>
                  <w:tcW w:w="5219" w:type="dxa"/>
                  <w:noWrap w:val="0"/>
                  <w:vAlign w:val="center"/>
                </w:tcPr>
                <w:p>
                  <w:pPr>
                    <w:pStyle w:val="68"/>
                    <w:bidi w:val="0"/>
                    <w:jc w:val="both"/>
                    <w:rPr>
                      <w:rFonts w:hint="eastAsia" w:ascii="Times New Roman" w:hAnsi="Times New Roman" w:eastAsia="宋体" w:cs="Times New Roman"/>
                      <w:color w:val="auto"/>
                      <w:kern w:val="2"/>
                      <w:sz w:val="21"/>
                      <w:szCs w:val="21"/>
                      <w:lang w:val="en-US" w:eastAsia="zh-CN" w:bidi="ar-SA"/>
                    </w:rPr>
                  </w:pPr>
                  <w:r>
                    <w:rPr>
                      <w:rFonts w:hint="eastAsia"/>
                      <w:b/>
                      <w:bCs/>
                      <w:color w:val="auto"/>
                      <w:sz w:val="21"/>
                      <w:szCs w:val="21"/>
                      <w:lang w:val="en-US" w:eastAsia="zh-CN"/>
                    </w:rPr>
                    <w:t>危险废物</w:t>
                  </w:r>
                  <w:r>
                    <w:rPr>
                      <w:rFonts w:hint="eastAsia"/>
                      <w:color w:val="auto"/>
                      <w:sz w:val="21"/>
                      <w:szCs w:val="21"/>
                      <w:lang w:val="en-US" w:eastAsia="zh-CN"/>
                    </w:rPr>
                    <w:t>：</w:t>
                  </w:r>
                  <w:r>
                    <w:rPr>
                      <w:rFonts w:hint="eastAsia"/>
                      <w:color w:val="auto"/>
                      <w:sz w:val="21"/>
                      <w:szCs w:val="21"/>
                      <w:lang w:eastAsia="zh-CN"/>
                    </w:rPr>
                    <w:t>新建</w:t>
                  </w:r>
                  <w:r>
                    <w:rPr>
                      <w:rFonts w:hint="eastAsia"/>
                      <w:color w:val="auto"/>
                      <w:sz w:val="21"/>
                      <w:szCs w:val="21"/>
                      <w:lang w:val="en-US" w:eastAsia="zh-CN"/>
                    </w:rPr>
                    <w:t>1间10</w:t>
                  </w:r>
                  <w:r>
                    <w:rPr>
                      <w:rFonts w:hint="eastAsia"/>
                      <w:color w:val="auto"/>
                      <w:sz w:val="21"/>
                      <w:szCs w:val="21"/>
                      <w:lang w:eastAsia="zh-CN"/>
                    </w:rPr>
                    <w:t>m</w:t>
                  </w:r>
                  <w:r>
                    <w:rPr>
                      <w:rFonts w:hint="eastAsia"/>
                      <w:color w:val="auto"/>
                      <w:sz w:val="21"/>
                      <w:szCs w:val="21"/>
                      <w:vertAlign w:val="superscript"/>
                      <w:lang w:eastAsia="zh-CN"/>
                    </w:rPr>
                    <w:t>2</w:t>
                  </w:r>
                  <w:r>
                    <w:rPr>
                      <w:rFonts w:hint="eastAsia"/>
                      <w:color w:val="auto"/>
                      <w:sz w:val="21"/>
                      <w:szCs w:val="21"/>
                      <w:lang w:eastAsia="zh-CN"/>
                    </w:rPr>
                    <w:t>的危险废物暂存库，位于厂区西</w:t>
                  </w:r>
                  <w:r>
                    <w:rPr>
                      <w:rFonts w:hint="eastAsia"/>
                      <w:color w:val="auto"/>
                      <w:sz w:val="21"/>
                      <w:szCs w:val="21"/>
                      <w:lang w:val="en-US" w:eastAsia="zh-CN"/>
                    </w:rPr>
                    <w:t>北</w:t>
                  </w:r>
                  <w:r>
                    <w:rPr>
                      <w:rFonts w:hint="eastAsia"/>
                      <w:color w:val="auto"/>
                      <w:sz w:val="21"/>
                      <w:szCs w:val="21"/>
                      <w:lang w:eastAsia="zh-CN"/>
                    </w:rPr>
                    <w:t>侧，各类危险废物分类收集暂存，定期</w:t>
                  </w:r>
                  <w:r>
                    <w:rPr>
                      <w:rFonts w:hint="eastAsia"/>
                      <w:color w:val="auto"/>
                      <w:sz w:val="21"/>
                      <w:szCs w:val="21"/>
                      <w:lang w:val="en-US" w:eastAsia="zh-CN"/>
                    </w:rPr>
                    <w:t>委托资质单位处置。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80" w:type="dxa"/>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color w:val="auto"/>
                      <w:sz w:val="21"/>
                      <w:szCs w:val="21"/>
                    </w:rPr>
                  </w:pPr>
                </w:p>
              </w:tc>
              <w:tc>
                <w:tcPr>
                  <w:tcW w:w="1736" w:type="dxa"/>
                  <w:gridSpan w:val="2"/>
                  <w:vMerge w:val="continue"/>
                  <w:noWrap w:val="0"/>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color w:val="auto"/>
                      <w:sz w:val="21"/>
                      <w:szCs w:val="21"/>
                    </w:rPr>
                  </w:pPr>
                </w:p>
              </w:tc>
              <w:tc>
                <w:tcPr>
                  <w:tcW w:w="5219" w:type="dxa"/>
                  <w:noWrap w:val="0"/>
                  <w:vAlign w:val="center"/>
                </w:tcPr>
                <w:p>
                  <w:pPr>
                    <w:pStyle w:val="68"/>
                    <w:bidi w:val="0"/>
                    <w:jc w:val="both"/>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生活垃圾经垃圾桶集中收集后由环卫部门统一处理。</w:t>
                  </w:r>
                </w:p>
              </w:tc>
            </w:tr>
          </w:tbl>
          <w:p>
            <w:pPr>
              <w:keepNext w:val="0"/>
              <w:keepLines w:val="0"/>
              <w:pageBreakBefore w:val="0"/>
              <w:widowControl w:val="0"/>
              <w:kinsoku/>
              <w:wordWrap/>
              <w:overflowPunct/>
              <w:topLinePunct w:val="0"/>
              <w:autoSpaceDE/>
              <w:autoSpaceDN/>
              <w:bidi w:val="0"/>
              <w:adjustRightInd w:val="0"/>
              <w:snapToGrid w:val="0"/>
              <w:spacing w:line="20" w:lineRule="exact"/>
              <w:ind w:firstLine="482"/>
              <w:textAlignment w:val="auto"/>
              <w:rPr>
                <w:rFonts w:hint="eastAsia" w:ascii="Times New Roman" w:hAnsi="Times New Roman" w:eastAsia="宋体" w:cs="Times New Roman"/>
                <w:b/>
                <w:bCs/>
                <w:color w:val="auto"/>
                <w:sz w:val="24"/>
                <w:szCs w:val="24"/>
                <w:lang w:val="en-US" w:eastAsia="zh-CN"/>
              </w:rPr>
            </w:pPr>
          </w:p>
          <w:p>
            <w:pPr>
              <w:pStyle w:val="44"/>
              <w:keepNext w:val="0"/>
              <w:keepLines w:val="0"/>
              <w:pageBreakBefore w:val="0"/>
              <w:widowControl w:val="0"/>
              <w:kinsoku/>
              <w:wordWrap/>
              <w:overflowPunct/>
              <w:topLinePunct w:val="0"/>
              <w:autoSpaceDE w:val="0"/>
              <w:autoSpaceDN w:val="0"/>
              <w:bidi w:val="0"/>
              <w:adjustRightInd w:val="0"/>
              <w:snapToGrid w:val="0"/>
              <w:spacing w:line="20" w:lineRule="exact"/>
              <w:textAlignment w:val="auto"/>
              <w:rPr>
                <w:rFonts w:hint="eastAsia"/>
                <w:lang w:val="en-US" w:eastAsia="zh-CN"/>
              </w:rPr>
            </w:pPr>
          </w:p>
          <w:p>
            <w:pPr>
              <w:pStyle w:val="46"/>
              <w:keepNext w:val="0"/>
              <w:keepLines w:val="0"/>
              <w:pageBreakBefore w:val="0"/>
              <w:widowControl w:val="0"/>
              <w:kinsoku/>
              <w:wordWrap/>
              <w:overflowPunct/>
              <w:topLinePunct w:val="0"/>
              <w:autoSpaceDE/>
              <w:autoSpaceDN/>
              <w:bidi w:val="0"/>
              <w:spacing w:line="40" w:lineRule="exact"/>
              <w:textAlignment w:val="auto"/>
              <w:rPr>
                <w:rFonts w:hint="eastAsia"/>
                <w:lang w:val="en-US" w:eastAsia="zh-CN"/>
              </w:rPr>
            </w:pPr>
          </w:p>
          <w:p>
            <w:pPr>
              <w:pStyle w:val="12"/>
              <w:keepNext w:val="0"/>
              <w:keepLines w:val="0"/>
              <w:pageBreakBefore w:val="0"/>
              <w:widowControl w:val="0"/>
              <w:kinsoku/>
              <w:wordWrap/>
              <w:overflowPunct/>
              <w:topLinePunct w:val="0"/>
              <w:autoSpaceDE/>
              <w:autoSpaceDN/>
              <w:bidi w:val="0"/>
              <w:spacing w:line="40" w:lineRule="exact"/>
              <w:textAlignment w:val="auto"/>
              <w:rPr>
                <w:rFonts w:hint="eastAsia"/>
                <w:lang w:val="en-US" w:eastAsia="zh-CN"/>
              </w:rPr>
            </w:pPr>
          </w:p>
          <w:p>
            <w:pPr>
              <w:pStyle w:val="12"/>
              <w:keepNext w:val="0"/>
              <w:keepLines w:val="0"/>
              <w:pageBreakBefore w:val="0"/>
              <w:widowControl w:val="0"/>
              <w:kinsoku/>
              <w:wordWrap/>
              <w:overflowPunct/>
              <w:topLinePunct w:val="0"/>
              <w:autoSpaceDE/>
              <w:autoSpaceDN/>
              <w:bidi w:val="0"/>
              <w:spacing w:line="40" w:lineRule="exact"/>
              <w:textAlignment w:val="auto"/>
              <w:rPr>
                <w:rFonts w:hint="eastAsia"/>
                <w:lang w:val="en-US" w:eastAsia="zh-CN"/>
              </w:rPr>
            </w:pPr>
          </w:p>
          <w:p>
            <w:pPr>
              <w:pStyle w:val="82"/>
              <w:bidi w:val="0"/>
              <w:rPr>
                <w:rFonts w:hint="eastAsia"/>
                <w:b/>
                <w:bCs/>
                <w:color w:val="auto"/>
                <w:lang w:val="en-US" w:eastAsia="zh-CN"/>
              </w:rPr>
            </w:pPr>
            <w:r>
              <w:rPr>
                <w:rFonts w:hint="eastAsia"/>
                <w:b/>
                <w:bCs/>
                <w:color w:val="auto"/>
                <w:lang w:val="en-US" w:eastAsia="zh-CN"/>
              </w:rPr>
              <w:t>3、产品及产能</w:t>
            </w:r>
          </w:p>
          <w:p>
            <w:pPr>
              <w:pStyle w:val="72"/>
              <w:bidi w:val="0"/>
              <w:rPr>
                <w:rFonts w:hint="default" w:ascii="Times New Roman" w:hAnsi="Times New Roman" w:eastAsia="宋体" w:cs="Times New Roman"/>
                <w:color w:val="auto"/>
              </w:rPr>
            </w:pPr>
            <w:r>
              <w:rPr>
                <w:rFonts w:hint="eastAsia" w:cs="Times New Roman"/>
                <w:color w:val="auto"/>
                <w:lang w:val="en-US" w:eastAsia="zh-CN"/>
              </w:rPr>
              <w:t>本项目产品为各尺寸电机外壳铸件，年产1900吨，产品方案见下表。</w:t>
            </w:r>
          </w:p>
          <w:p>
            <w:pPr>
              <w:pStyle w:val="70"/>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eastAsia" w:cs="Times New Roman"/>
                <w:color w:val="auto"/>
                <w:lang w:val="en-US" w:eastAsia="zh-CN"/>
              </w:rPr>
              <w:t>4</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项目产品方案</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1983"/>
              <w:gridCol w:w="1983"/>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249" w:type="pct"/>
                  <w:noWrap w:val="0"/>
                  <w:vAlign w:val="center"/>
                </w:tcPr>
                <w:p>
                  <w:pPr>
                    <w:pStyle w:val="39"/>
                    <w:bidi w:val="0"/>
                    <w:jc w:val="center"/>
                    <w:rPr>
                      <w:rFonts w:hint="default"/>
                      <w:color w:val="auto"/>
                      <w:lang w:val="en-US" w:eastAsia="zh-CN"/>
                    </w:rPr>
                  </w:pPr>
                  <w:r>
                    <w:rPr>
                      <w:rFonts w:hint="eastAsia"/>
                      <w:color w:val="auto"/>
                      <w:lang w:val="en-US" w:eastAsia="zh-CN"/>
                    </w:rPr>
                    <w:t>序号</w:t>
                  </w:r>
                </w:p>
              </w:tc>
              <w:tc>
                <w:tcPr>
                  <w:tcW w:w="1249" w:type="pct"/>
                  <w:noWrap w:val="0"/>
                  <w:vAlign w:val="center"/>
                </w:tcPr>
                <w:p>
                  <w:pPr>
                    <w:pStyle w:val="39"/>
                    <w:bidi w:val="0"/>
                    <w:jc w:val="center"/>
                    <w:rPr>
                      <w:rFonts w:hint="eastAsia"/>
                      <w:color w:val="auto"/>
                      <w:lang w:val="en-US" w:eastAsia="zh-CN"/>
                    </w:rPr>
                  </w:pPr>
                  <w:r>
                    <w:rPr>
                      <w:rFonts w:hint="default"/>
                      <w:color w:val="auto"/>
                      <w:lang w:eastAsia="zh-CN"/>
                    </w:rPr>
                    <w:t>产品名称</w:t>
                  </w:r>
                </w:p>
              </w:tc>
              <w:tc>
                <w:tcPr>
                  <w:tcW w:w="1249" w:type="pct"/>
                  <w:noWrap w:val="0"/>
                  <w:vAlign w:val="center"/>
                </w:tcPr>
                <w:p>
                  <w:pPr>
                    <w:pStyle w:val="39"/>
                    <w:bidi w:val="0"/>
                    <w:jc w:val="center"/>
                    <w:rPr>
                      <w:rFonts w:hint="default"/>
                      <w:color w:val="auto"/>
                      <w:lang w:val="en-US" w:eastAsia="zh-CN"/>
                    </w:rPr>
                  </w:pPr>
                  <w:r>
                    <w:rPr>
                      <w:rFonts w:hint="eastAsia"/>
                      <w:color w:val="auto"/>
                      <w:lang w:val="en-US" w:eastAsia="zh-CN"/>
                    </w:rPr>
                    <w:t>t/a</w:t>
                  </w:r>
                </w:p>
              </w:tc>
              <w:tc>
                <w:tcPr>
                  <w:tcW w:w="1251" w:type="pct"/>
                  <w:noWrap w:val="0"/>
                  <w:vAlign w:val="center"/>
                </w:tcPr>
                <w:p>
                  <w:pPr>
                    <w:pStyle w:val="39"/>
                    <w:bidi w:val="0"/>
                    <w:jc w:val="center"/>
                    <w:rPr>
                      <w:rFonts w:hint="default"/>
                      <w:color w:val="auto"/>
                      <w:lang w:val="en-US" w:eastAsia="zh-CN"/>
                    </w:rPr>
                  </w:pPr>
                  <w:r>
                    <w:rPr>
                      <w:rFonts w:hint="eastAsia"/>
                      <w:color w:val="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249" w:type="pct"/>
                  <w:noWrap w:val="0"/>
                  <w:vAlign w:val="center"/>
                </w:tcPr>
                <w:p>
                  <w:pPr>
                    <w:pStyle w:val="39"/>
                    <w:bidi w:val="0"/>
                    <w:jc w:val="center"/>
                    <w:rPr>
                      <w:rFonts w:hint="default"/>
                      <w:color w:val="auto"/>
                      <w:lang w:val="en-US" w:eastAsia="zh-CN"/>
                    </w:rPr>
                  </w:pPr>
                  <w:r>
                    <w:rPr>
                      <w:rFonts w:hint="eastAsia"/>
                      <w:color w:val="auto"/>
                      <w:lang w:val="en-US" w:eastAsia="zh-CN"/>
                    </w:rPr>
                    <w:t>1</w:t>
                  </w:r>
                </w:p>
              </w:tc>
              <w:tc>
                <w:tcPr>
                  <w:tcW w:w="1249" w:type="pct"/>
                  <w:noWrap w:val="0"/>
                  <w:vAlign w:val="center"/>
                </w:tcPr>
                <w:p>
                  <w:pPr>
                    <w:pStyle w:val="39"/>
                    <w:bidi w:val="0"/>
                    <w:jc w:val="center"/>
                    <w:rPr>
                      <w:rFonts w:hint="default"/>
                      <w:color w:val="auto"/>
                      <w:lang w:val="en-US" w:eastAsia="zh-CN"/>
                    </w:rPr>
                  </w:pPr>
                  <w:r>
                    <w:rPr>
                      <w:rFonts w:hint="eastAsia"/>
                      <w:color w:val="auto"/>
                      <w:lang w:val="en-US" w:eastAsia="zh-CN"/>
                    </w:rPr>
                    <w:t>电机外壳铸件</w:t>
                  </w:r>
                </w:p>
              </w:tc>
              <w:tc>
                <w:tcPr>
                  <w:tcW w:w="1249" w:type="pct"/>
                  <w:noWrap w:val="0"/>
                  <w:vAlign w:val="center"/>
                </w:tcPr>
                <w:p>
                  <w:pPr>
                    <w:pStyle w:val="39"/>
                    <w:bidi w:val="0"/>
                    <w:jc w:val="center"/>
                    <w:rPr>
                      <w:rFonts w:hint="default"/>
                      <w:color w:val="auto"/>
                      <w:lang w:val="en-US" w:eastAsia="zh-CN"/>
                    </w:rPr>
                  </w:pPr>
                  <w:r>
                    <w:rPr>
                      <w:rFonts w:hint="eastAsia"/>
                      <w:color w:val="auto"/>
                      <w:lang w:val="en-US" w:eastAsia="zh-CN"/>
                    </w:rPr>
                    <w:t>1900</w:t>
                  </w:r>
                </w:p>
              </w:tc>
              <w:tc>
                <w:tcPr>
                  <w:tcW w:w="1251" w:type="pct"/>
                  <w:noWrap w:val="0"/>
                  <w:vAlign w:val="center"/>
                </w:tcPr>
                <w:p>
                  <w:pPr>
                    <w:pStyle w:val="39"/>
                    <w:bidi w:val="0"/>
                    <w:jc w:val="center"/>
                    <w:rPr>
                      <w:rFonts w:hint="eastAsia"/>
                      <w:color w:val="auto"/>
                      <w:lang w:eastAsia="zh-CN"/>
                    </w:rPr>
                  </w:pPr>
                  <w:r>
                    <w:rPr>
                      <w:rFonts w:hint="eastAsia" w:ascii="宋体" w:hAnsi="宋体" w:cs="宋体"/>
                      <w:color w:val="auto"/>
                      <w:kern w:val="0"/>
                      <w:sz w:val="21"/>
                      <w:szCs w:val="21"/>
                      <w:lang w:val="en-US" w:eastAsia="zh-CN" w:bidi="ar"/>
                    </w:rPr>
                    <w:t>机械</w:t>
                  </w:r>
                  <w:r>
                    <w:rPr>
                      <w:rFonts w:hint="eastAsia" w:ascii="宋体" w:hAnsi="宋体" w:eastAsia="宋体" w:cs="宋体"/>
                      <w:color w:val="auto"/>
                      <w:kern w:val="0"/>
                      <w:sz w:val="21"/>
                      <w:szCs w:val="21"/>
                      <w:lang w:val="en-US" w:eastAsia="zh-CN" w:bidi="ar"/>
                    </w:rPr>
                    <w:t>铸造</w:t>
                  </w:r>
                </w:p>
              </w:tc>
            </w:tr>
          </w:tbl>
          <w:p>
            <w:pPr>
              <w:pStyle w:val="82"/>
              <w:bidi w:val="0"/>
              <w:rPr>
                <w:rFonts w:hint="default"/>
                <w:b w:val="0"/>
                <w:bCs w:val="0"/>
                <w:color w:val="auto"/>
                <w:lang w:val="en-US" w:eastAsia="zh-CN"/>
              </w:rPr>
            </w:pPr>
            <w:r>
              <w:rPr>
                <w:rFonts w:hint="eastAsia"/>
                <w:b w:val="0"/>
                <w:bCs w:val="0"/>
                <w:color w:val="auto"/>
                <w:lang w:val="en-US" w:eastAsia="zh-CN"/>
              </w:rPr>
              <w:t>铸造产能应依据熔炼设备能力、造型设备能力、产品工艺出品率和项目年时基数设计标准（GBT/51266-2017）进行计算。本项目中频感应电炉熔炼能力为0.75t/h，每天工作9小时，每年工作300天，工艺出品率约95%，铸造产能约1900t/a。</w:t>
            </w:r>
          </w:p>
          <w:p>
            <w:pPr>
              <w:pStyle w:val="82"/>
              <w:bidi w:val="0"/>
              <w:rPr>
                <w:b/>
                <w:bCs/>
                <w:color w:val="auto"/>
              </w:rPr>
            </w:pPr>
            <w:r>
              <w:rPr>
                <w:rFonts w:hint="eastAsia"/>
                <w:b/>
                <w:bCs/>
                <w:color w:val="auto"/>
                <w:lang w:val="en-US" w:eastAsia="zh-CN"/>
              </w:rPr>
              <w:t>4、</w:t>
            </w:r>
            <w:r>
              <w:rPr>
                <w:b/>
                <w:bCs/>
                <w:color w:val="auto"/>
              </w:rPr>
              <w:t>主要</w:t>
            </w:r>
            <w:r>
              <w:rPr>
                <w:rFonts w:hint="eastAsia"/>
                <w:b/>
                <w:bCs/>
                <w:color w:val="auto"/>
                <w:lang w:val="en-US" w:eastAsia="zh-CN"/>
              </w:rPr>
              <w:t>生产设施</w:t>
            </w:r>
          </w:p>
          <w:p>
            <w:pPr>
              <w:pStyle w:val="72"/>
              <w:bidi w:val="0"/>
              <w:rPr>
                <w:rFonts w:hint="eastAsia"/>
                <w:color w:val="auto"/>
                <w:lang w:eastAsia="zh-CN"/>
              </w:rPr>
            </w:pPr>
            <w:r>
              <w:rPr>
                <w:color w:val="auto"/>
              </w:rPr>
              <w:t>项目主要设备见</w:t>
            </w:r>
            <w:r>
              <w:rPr>
                <w:rFonts w:hint="eastAsia"/>
                <w:color w:val="auto"/>
                <w:lang w:eastAsia="zh-CN"/>
              </w:rPr>
              <w:t>下表</w:t>
            </w:r>
            <w:r>
              <w:rPr>
                <w:rFonts w:hint="eastAsia"/>
                <w:color w:val="auto"/>
                <w:lang w:val="en-US" w:eastAsia="zh-CN"/>
              </w:rPr>
              <w:t>。</w:t>
            </w:r>
          </w:p>
          <w:p>
            <w:pPr>
              <w:pStyle w:val="70"/>
              <w:bidi w:val="0"/>
              <w:rPr>
                <w:color w:val="auto"/>
              </w:rPr>
            </w:pPr>
            <w:r>
              <w:rPr>
                <w:color w:val="auto"/>
              </w:rPr>
              <w:t>表</w:t>
            </w:r>
            <w:r>
              <w:rPr>
                <w:rFonts w:hint="eastAsia"/>
                <w:color w:val="auto"/>
                <w:lang w:val="en-US" w:eastAsia="zh-CN"/>
              </w:rPr>
              <w:t>2</w:t>
            </w:r>
            <w:r>
              <w:rPr>
                <w:color w:val="auto"/>
              </w:rPr>
              <w:t>-</w:t>
            </w:r>
            <w:r>
              <w:rPr>
                <w:rFonts w:hint="eastAsia"/>
                <w:color w:val="auto"/>
                <w:lang w:val="en-US" w:eastAsia="zh-CN"/>
              </w:rPr>
              <w:t>5</w:t>
            </w:r>
            <w:r>
              <w:rPr>
                <w:color w:val="auto"/>
              </w:rPr>
              <w:t xml:space="preserve"> 主要设备一览表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2"/>
              <w:gridCol w:w="1616"/>
              <w:gridCol w:w="1619"/>
              <w:gridCol w:w="2197"/>
              <w:gridCol w:w="819"/>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32" w:type="dxa"/>
                  <w:vAlign w:val="center"/>
                </w:tcPr>
                <w:p>
                  <w:pPr>
                    <w:pStyle w:val="39"/>
                    <w:bidi w:val="0"/>
                    <w:spacing w:line="240" w:lineRule="auto"/>
                    <w:jc w:val="center"/>
                    <w:rPr>
                      <w:color w:val="auto"/>
                      <w:lang w:val="en-US" w:eastAsia="zh-CN"/>
                    </w:rPr>
                  </w:pPr>
                  <w:r>
                    <w:rPr>
                      <w:color w:val="auto"/>
                    </w:rPr>
                    <w:t>序号</w:t>
                  </w:r>
                </w:p>
              </w:tc>
              <w:tc>
                <w:tcPr>
                  <w:tcW w:w="1616" w:type="dxa"/>
                  <w:vAlign w:val="center"/>
                </w:tcPr>
                <w:p>
                  <w:pPr>
                    <w:pStyle w:val="39"/>
                    <w:bidi w:val="0"/>
                    <w:spacing w:line="240" w:lineRule="auto"/>
                    <w:jc w:val="center"/>
                    <w:rPr>
                      <w:color w:val="auto"/>
                    </w:rPr>
                  </w:pPr>
                  <w:r>
                    <w:rPr>
                      <w:rFonts w:hint="eastAsia"/>
                      <w:color w:val="auto"/>
                      <w:lang w:eastAsia="zh-CN"/>
                    </w:rPr>
                    <w:t>设备</w:t>
                  </w:r>
                  <w:r>
                    <w:rPr>
                      <w:color w:val="auto"/>
                    </w:rPr>
                    <w:t>名称</w:t>
                  </w:r>
                </w:p>
              </w:tc>
              <w:tc>
                <w:tcPr>
                  <w:tcW w:w="1619" w:type="dxa"/>
                  <w:vAlign w:val="center"/>
                </w:tcPr>
                <w:p>
                  <w:pPr>
                    <w:pStyle w:val="39"/>
                    <w:bidi w:val="0"/>
                    <w:spacing w:line="240" w:lineRule="auto"/>
                    <w:jc w:val="center"/>
                    <w:rPr>
                      <w:color w:val="auto"/>
                    </w:rPr>
                  </w:pPr>
                  <w:r>
                    <w:rPr>
                      <w:color w:val="auto"/>
                    </w:rPr>
                    <w:t>型号</w:t>
                  </w:r>
                </w:p>
              </w:tc>
              <w:tc>
                <w:tcPr>
                  <w:tcW w:w="2197" w:type="dxa"/>
                  <w:vAlign w:val="center"/>
                </w:tcPr>
                <w:p>
                  <w:pPr>
                    <w:pStyle w:val="39"/>
                    <w:bidi w:val="0"/>
                    <w:spacing w:line="240" w:lineRule="auto"/>
                    <w:jc w:val="center"/>
                    <w:rPr>
                      <w:rFonts w:hint="eastAsia" w:eastAsia="宋体"/>
                      <w:color w:val="auto"/>
                      <w:lang w:val="en-US" w:eastAsia="zh-CN"/>
                    </w:rPr>
                  </w:pPr>
                  <w:r>
                    <w:rPr>
                      <w:rFonts w:hint="eastAsia"/>
                      <w:color w:val="auto"/>
                      <w:lang w:val="en-US" w:eastAsia="zh-CN"/>
                    </w:rPr>
                    <w:t>厂家</w:t>
                  </w:r>
                </w:p>
              </w:tc>
              <w:tc>
                <w:tcPr>
                  <w:tcW w:w="819" w:type="dxa"/>
                  <w:vAlign w:val="center"/>
                </w:tcPr>
                <w:p>
                  <w:pPr>
                    <w:pStyle w:val="39"/>
                    <w:bidi w:val="0"/>
                    <w:spacing w:line="240" w:lineRule="auto"/>
                    <w:jc w:val="center"/>
                    <w:rPr>
                      <w:color w:val="auto"/>
                    </w:rPr>
                  </w:pPr>
                  <w:r>
                    <w:rPr>
                      <w:color w:val="auto"/>
                    </w:rPr>
                    <w:t>数量</w:t>
                  </w:r>
                </w:p>
                <w:p>
                  <w:pPr>
                    <w:pStyle w:val="39"/>
                    <w:bidi w:val="0"/>
                    <w:spacing w:line="240" w:lineRule="auto"/>
                    <w:jc w:val="center"/>
                    <w:rPr>
                      <w:color w:val="auto"/>
                    </w:rPr>
                  </w:pPr>
                  <w:r>
                    <w:rPr>
                      <w:rFonts w:hint="eastAsia"/>
                      <w:color w:val="auto"/>
                      <w:lang w:eastAsia="zh-CN"/>
                    </w:rPr>
                    <w:t>（台</w:t>
                  </w:r>
                  <w:r>
                    <w:rPr>
                      <w:rFonts w:hint="eastAsia"/>
                      <w:color w:val="auto"/>
                      <w:lang w:val="en-US" w:eastAsia="zh-CN"/>
                    </w:rPr>
                    <w:t>/套</w:t>
                  </w:r>
                  <w:r>
                    <w:rPr>
                      <w:rFonts w:hint="eastAsia"/>
                      <w:color w:val="auto"/>
                      <w:lang w:eastAsia="zh-CN"/>
                    </w:rPr>
                    <w:t>）</w:t>
                  </w:r>
                </w:p>
              </w:tc>
              <w:tc>
                <w:tcPr>
                  <w:tcW w:w="1152" w:type="dxa"/>
                  <w:vAlign w:val="center"/>
                </w:tcPr>
                <w:p>
                  <w:pPr>
                    <w:pStyle w:val="39"/>
                    <w:bidi w:val="0"/>
                    <w:spacing w:line="240" w:lineRule="auto"/>
                    <w:jc w:val="center"/>
                    <w:rPr>
                      <w:rFonts w:hint="eastAsia" w:eastAsia="宋体"/>
                      <w:color w:val="auto"/>
                      <w:lang w:val="en-US" w:eastAsia="zh-CN"/>
                    </w:rPr>
                  </w:pPr>
                  <w:r>
                    <w:rPr>
                      <w:rFonts w:hint="eastAsia"/>
                      <w:color w:val="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32" w:type="dxa"/>
                  <w:vAlign w:val="center"/>
                </w:tcPr>
                <w:p>
                  <w:pPr>
                    <w:pStyle w:val="39"/>
                    <w:bidi w:val="0"/>
                    <w:spacing w:line="240" w:lineRule="auto"/>
                    <w:jc w:val="center"/>
                    <w:rPr>
                      <w:color w:val="auto"/>
                    </w:rPr>
                  </w:pPr>
                  <w:r>
                    <w:rPr>
                      <w:color w:val="auto"/>
                    </w:rPr>
                    <w:t>1</w:t>
                  </w:r>
                </w:p>
              </w:tc>
              <w:tc>
                <w:tcPr>
                  <w:tcW w:w="1616" w:type="dxa"/>
                  <w:vAlign w:val="center"/>
                </w:tcPr>
                <w:p>
                  <w:pPr>
                    <w:keepNext w:val="0"/>
                    <w:keepLines w:val="0"/>
                    <w:widowControl/>
                    <w:suppressLineNumbers w:val="0"/>
                    <w:spacing w:line="240" w:lineRule="auto"/>
                    <w:jc w:val="center"/>
                    <w:rPr>
                      <w:rFonts w:hint="eastAsia"/>
                      <w:color w:val="auto"/>
                      <w:lang w:val="en-US" w:eastAsia="zh-CN"/>
                    </w:rPr>
                  </w:pPr>
                  <w:r>
                    <w:rPr>
                      <w:rFonts w:hint="eastAsia" w:ascii="宋体" w:hAnsi="宋体" w:eastAsia="宋体" w:cs="宋体"/>
                      <w:color w:val="auto"/>
                      <w:kern w:val="0"/>
                      <w:sz w:val="21"/>
                      <w:szCs w:val="21"/>
                      <w:lang w:val="en-US" w:eastAsia="zh-CN" w:bidi="ar"/>
                    </w:rPr>
                    <w:t>中频熔炼炉</w:t>
                  </w:r>
                </w:p>
              </w:tc>
              <w:tc>
                <w:tcPr>
                  <w:tcW w:w="1619" w:type="dxa"/>
                  <w:vAlign w:val="center"/>
                </w:tcPr>
                <w:p>
                  <w:pPr>
                    <w:keepNext w:val="0"/>
                    <w:keepLines w:val="0"/>
                    <w:widowControl/>
                    <w:suppressLineNumbers w:val="0"/>
                    <w:spacing w:line="240" w:lineRule="auto"/>
                    <w:jc w:val="center"/>
                    <w:rPr>
                      <w:rFonts w:hint="eastAsia"/>
                      <w:color w:val="auto"/>
                      <w:lang w:val="en-US" w:eastAsia="zh-CN"/>
                    </w:rPr>
                  </w:pPr>
                  <w:r>
                    <w:rPr>
                      <w:rFonts w:hint="eastAsia"/>
                      <w:color w:val="auto"/>
                      <w:lang w:val="en-US" w:eastAsia="zh-CN"/>
                    </w:rPr>
                    <w:t xml:space="preserve">KGPS0.75-600-1 </w:t>
                  </w:r>
                </w:p>
              </w:tc>
              <w:tc>
                <w:tcPr>
                  <w:tcW w:w="2197" w:type="dxa"/>
                  <w:vAlign w:val="center"/>
                </w:tcPr>
                <w:p>
                  <w:pPr>
                    <w:pStyle w:val="39"/>
                    <w:bidi w:val="0"/>
                    <w:spacing w:line="240" w:lineRule="auto"/>
                    <w:jc w:val="center"/>
                    <w:rPr>
                      <w:rFonts w:hint="default"/>
                      <w:color w:val="auto"/>
                      <w:lang w:val="en-US" w:eastAsia="zh-CN"/>
                    </w:rPr>
                  </w:pPr>
                  <w:r>
                    <w:rPr>
                      <w:rFonts w:hint="default" w:ascii="Times New Roman" w:hAnsi="Times New Roman" w:eastAsia="宋体" w:cs="Times New Roman"/>
                      <w:color w:val="auto"/>
                      <w:kern w:val="0"/>
                      <w:sz w:val="21"/>
                      <w:szCs w:val="21"/>
                      <w:lang w:val="en-US" w:eastAsia="zh-CN" w:bidi="ar"/>
                    </w:rPr>
                    <w:t>合肥中频电炉有限公司</w:t>
                  </w:r>
                </w:p>
              </w:tc>
              <w:tc>
                <w:tcPr>
                  <w:tcW w:w="819" w:type="dxa"/>
                  <w:vAlign w:val="center"/>
                </w:tcPr>
                <w:p>
                  <w:pPr>
                    <w:pStyle w:val="39"/>
                    <w:bidi w:val="0"/>
                    <w:spacing w:line="240" w:lineRule="auto"/>
                    <w:jc w:val="center"/>
                    <w:rPr>
                      <w:rFonts w:hint="eastAsia" w:ascii="Times New Roman" w:hAnsi="Times New Roman" w:eastAsia="宋体" w:cs="Times New Roman"/>
                      <w:color w:val="auto"/>
                      <w:kern w:val="0"/>
                      <w:sz w:val="21"/>
                      <w:szCs w:val="22"/>
                      <w:lang w:val="en-US" w:eastAsia="zh-CN" w:bidi="ar-SA"/>
                    </w:rPr>
                  </w:pPr>
                  <w:r>
                    <w:rPr>
                      <w:rFonts w:hint="eastAsia"/>
                      <w:color w:val="auto"/>
                      <w:lang w:val="en-US" w:eastAsia="zh-CN"/>
                    </w:rPr>
                    <w:t>1</w:t>
                  </w:r>
                </w:p>
              </w:tc>
              <w:tc>
                <w:tcPr>
                  <w:tcW w:w="1152" w:type="dxa"/>
                  <w:vAlign w:val="center"/>
                </w:tcPr>
                <w:p>
                  <w:pPr>
                    <w:pStyle w:val="39"/>
                    <w:bidi w:val="0"/>
                    <w:spacing w:line="240" w:lineRule="auto"/>
                    <w:jc w:val="center"/>
                    <w:rPr>
                      <w:rFonts w:hint="default"/>
                      <w:color w:val="auto"/>
                      <w:lang w:val="en-US" w:eastAsia="zh-CN"/>
                    </w:rPr>
                  </w:pPr>
                  <w:r>
                    <w:rPr>
                      <w:rFonts w:hint="eastAsia"/>
                      <w:color w:val="auto"/>
                      <w:lang w:val="en-US" w:eastAsia="zh-CN"/>
                    </w:rPr>
                    <w:t>熔炼单元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32" w:type="dxa"/>
                  <w:vAlign w:val="center"/>
                </w:tcPr>
                <w:p>
                  <w:pPr>
                    <w:pStyle w:val="39"/>
                    <w:bidi w:val="0"/>
                    <w:spacing w:line="240" w:lineRule="auto"/>
                    <w:jc w:val="center"/>
                    <w:rPr>
                      <w:color w:val="auto"/>
                    </w:rPr>
                  </w:pPr>
                  <w:r>
                    <w:rPr>
                      <w:color w:val="auto"/>
                    </w:rPr>
                    <w:t>2</w:t>
                  </w:r>
                </w:p>
              </w:tc>
              <w:tc>
                <w:tcPr>
                  <w:tcW w:w="1616" w:type="dxa"/>
                  <w:vAlign w:val="center"/>
                </w:tcPr>
                <w:p>
                  <w:pPr>
                    <w:pStyle w:val="39"/>
                    <w:bidi w:val="0"/>
                    <w:spacing w:line="240" w:lineRule="auto"/>
                    <w:jc w:val="center"/>
                    <w:rPr>
                      <w:rFonts w:hint="eastAsia" w:ascii="Times New Roman" w:hAnsi="Times New Roman" w:eastAsia="宋体" w:cs="Times New Roman"/>
                      <w:color w:val="auto"/>
                      <w:kern w:val="0"/>
                      <w:sz w:val="21"/>
                      <w:szCs w:val="22"/>
                      <w:lang w:val="en-US" w:eastAsia="zh-CN" w:bidi="ar-SA"/>
                    </w:rPr>
                  </w:pPr>
                  <w:r>
                    <w:rPr>
                      <w:rFonts w:hint="eastAsia"/>
                      <w:color w:val="auto"/>
                      <w:lang w:val="en-US" w:eastAsia="zh-CN"/>
                    </w:rPr>
                    <w:t>冷芯盒射砂机</w:t>
                  </w:r>
                </w:p>
              </w:tc>
              <w:tc>
                <w:tcPr>
                  <w:tcW w:w="1619" w:type="dxa"/>
                  <w:vAlign w:val="center"/>
                </w:tcPr>
                <w:p>
                  <w:pPr>
                    <w:pStyle w:val="39"/>
                    <w:bidi w:val="0"/>
                    <w:spacing w:line="240" w:lineRule="auto"/>
                    <w:jc w:val="center"/>
                    <w:rPr>
                      <w:rFonts w:hint="eastAsia" w:ascii="Times New Roman" w:hAnsi="Times New Roman" w:eastAsia="宋体" w:cs="Times New Roman"/>
                      <w:color w:val="auto"/>
                      <w:kern w:val="0"/>
                      <w:sz w:val="21"/>
                      <w:szCs w:val="22"/>
                      <w:lang w:val="en-US" w:eastAsia="zh-CN" w:bidi="ar-SA"/>
                    </w:rPr>
                  </w:pPr>
                </w:p>
              </w:tc>
              <w:tc>
                <w:tcPr>
                  <w:tcW w:w="2197" w:type="dxa"/>
                  <w:vAlign w:val="center"/>
                </w:tcPr>
                <w:p>
                  <w:pPr>
                    <w:pStyle w:val="39"/>
                    <w:bidi w:val="0"/>
                    <w:spacing w:line="240" w:lineRule="auto"/>
                    <w:jc w:val="center"/>
                    <w:rPr>
                      <w:rFonts w:hint="default" w:ascii="Times New Roman" w:hAnsi="Times New Roman" w:eastAsia="宋体" w:cs="Times New Roman"/>
                      <w:color w:val="auto"/>
                      <w:kern w:val="0"/>
                      <w:sz w:val="21"/>
                      <w:szCs w:val="22"/>
                      <w:lang w:val="en-US" w:eastAsia="zh-CN" w:bidi="ar-SA"/>
                    </w:rPr>
                  </w:pPr>
                  <w:r>
                    <w:rPr>
                      <w:rFonts w:hint="eastAsia"/>
                      <w:color w:val="auto"/>
                      <w:lang w:val="en-US" w:eastAsia="zh-CN"/>
                    </w:rPr>
                    <w:t>苏州三信机器制造有限公司</w:t>
                  </w:r>
                </w:p>
              </w:tc>
              <w:tc>
                <w:tcPr>
                  <w:tcW w:w="819" w:type="dxa"/>
                  <w:vAlign w:val="center"/>
                </w:tcPr>
                <w:p>
                  <w:pPr>
                    <w:pStyle w:val="39"/>
                    <w:bidi w:val="0"/>
                    <w:spacing w:line="240" w:lineRule="auto"/>
                    <w:jc w:val="center"/>
                    <w:rPr>
                      <w:rFonts w:hint="eastAsia" w:ascii="Times New Roman" w:hAnsi="Times New Roman" w:eastAsia="宋体" w:cs="Times New Roman"/>
                      <w:color w:val="auto"/>
                      <w:kern w:val="0"/>
                      <w:sz w:val="21"/>
                      <w:szCs w:val="22"/>
                      <w:lang w:val="en-US" w:eastAsia="zh-CN" w:bidi="ar-SA"/>
                    </w:rPr>
                  </w:pPr>
                  <w:r>
                    <w:rPr>
                      <w:rFonts w:hint="eastAsia"/>
                      <w:color w:val="auto"/>
                      <w:lang w:val="en-US" w:eastAsia="zh-CN"/>
                    </w:rPr>
                    <w:t>1</w:t>
                  </w:r>
                </w:p>
              </w:tc>
              <w:tc>
                <w:tcPr>
                  <w:tcW w:w="1152" w:type="dxa"/>
                  <w:vAlign w:val="center"/>
                </w:tcPr>
                <w:p>
                  <w:pPr>
                    <w:pStyle w:val="39"/>
                    <w:bidi w:val="0"/>
                    <w:spacing w:line="240" w:lineRule="auto"/>
                    <w:jc w:val="center"/>
                    <w:rPr>
                      <w:rFonts w:hint="default" w:ascii="Times New Roman" w:hAnsi="Times New Roman" w:eastAsia="宋体" w:cs="Times New Roman"/>
                      <w:color w:val="auto"/>
                      <w:kern w:val="0"/>
                      <w:sz w:val="21"/>
                      <w:szCs w:val="22"/>
                      <w:lang w:val="en-US" w:eastAsia="zh-CN" w:bidi="ar-SA"/>
                    </w:rPr>
                  </w:pPr>
                  <w:r>
                    <w:rPr>
                      <w:rFonts w:hint="eastAsia" w:cs="Times New Roman"/>
                      <w:color w:val="auto"/>
                      <w:kern w:val="0"/>
                      <w:sz w:val="21"/>
                      <w:szCs w:val="22"/>
                      <w:lang w:val="en-US" w:eastAsia="zh-CN" w:bidi="ar-SA"/>
                    </w:rPr>
                    <w:t>制芯</w:t>
                  </w:r>
                  <w:r>
                    <w:rPr>
                      <w:rFonts w:hint="eastAsia"/>
                      <w:color w:val="auto"/>
                      <w:lang w:val="en-US" w:eastAsia="zh-CN"/>
                    </w:rPr>
                    <w:t>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32" w:type="dxa"/>
                  <w:vAlign w:val="center"/>
                </w:tcPr>
                <w:p>
                  <w:pPr>
                    <w:pStyle w:val="39"/>
                    <w:bidi w:val="0"/>
                    <w:spacing w:line="240" w:lineRule="auto"/>
                    <w:jc w:val="center"/>
                    <w:rPr>
                      <w:color w:val="auto"/>
                    </w:rPr>
                  </w:pPr>
                  <w:r>
                    <w:rPr>
                      <w:color w:val="auto"/>
                    </w:rPr>
                    <w:t>3</w:t>
                  </w:r>
                </w:p>
              </w:tc>
              <w:tc>
                <w:tcPr>
                  <w:tcW w:w="1616" w:type="dxa"/>
                  <w:vAlign w:val="center"/>
                </w:tcPr>
                <w:p>
                  <w:pPr>
                    <w:pStyle w:val="39"/>
                    <w:bidi w:val="0"/>
                    <w:spacing w:line="240" w:lineRule="auto"/>
                    <w:jc w:val="center"/>
                    <w:rPr>
                      <w:rFonts w:hint="default" w:ascii="Times New Roman" w:hAnsi="Times New Roman" w:eastAsia="宋体" w:cs="Times New Roman"/>
                      <w:color w:val="auto"/>
                      <w:kern w:val="0"/>
                      <w:sz w:val="21"/>
                      <w:szCs w:val="22"/>
                      <w:lang w:val="en-US" w:eastAsia="zh-CN" w:bidi="ar-SA"/>
                    </w:rPr>
                  </w:pPr>
                  <w:r>
                    <w:rPr>
                      <w:rFonts w:hint="eastAsia"/>
                      <w:color w:val="auto"/>
                      <w:lang w:val="en-US" w:eastAsia="zh-CN"/>
                    </w:rPr>
                    <w:t>混砂机</w:t>
                  </w:r>
                </w:p>
              </w:tc>
              <w:tc>
                <w:tcPr>
                  <w:tcW w:w="1619" w:type="dxa"/>
                  <w:vAlign w:val="center"/>
                </w:tcPr>
                <w:p>
                  <w:pPr>
                    <w:pStyle w:val="39"/>
                    <w:bidi w:val="0"/>
                    <w:spacing w:line="240" w:lineRule="auto"/>
                    <w:jc w:val="center"/>
                    <w:rPr>
                      <w:rFonts w:hint="default" w:ascii="Times New Roman" w:hAnsi="Times New Roman" w:eastAsia="宋体" w:cs="Times New Roman"/>
                      <w:color w:val="auto"/>
                      <w:kern w:val="0"/>
                      <w:sz w:val="21"/>
                      <w:szCs w:val="22"/>
                      <w:lang w:val="en-US" w:eastAsia="zh-CN" w:bidi="ar-SA"/>
                    </w:rPr>
                  </w:pPr>
                  <w:r>
                    <w:rPr>
                      <w:rFonts w:hint="eastAsia" w:cs="Times New Roman"/>
                      <w:color w:val="auto"/>
                      <w:kern w:val="0"/>
                      <w:sz w:val="21"/>
                      <w:szCs w:val="22"/>
                      <w:lang w:val="en-US" w:eastAsia="zh-CN" w:bidi="ar-SA"/>
                    </w:rPr>
                    <w:t>S112</w:t>
                  </w:r>
                </w:p>
              </w:tc>
              <w:tc>
                <w:tcPr>
                  <w:tcW w:w="2197" w:type="dxa"/>
                  <w:vAlign w:val="center"/>
                </w:tcPr>
                <w:p>
                  <w:pPr>
                    <w:pStyle w:val="39"/>
                    <w:bidi w:val="0"/>
                    <w:spacing w:line="240" w:lineRule="auto"/>
                    <w:jc w:val="center"/>
                    <w:rPr>
                      <w:rFonts w:hint="default" w:ascii="Times New Roman" w:hAnsi="Times New Roman" w:eastAsia="宋体" w:cs="Times New Roman"/>
                      <w:color w:val="auto"/>
                      <w:kern w:val="0"/>
                      <w:sz w:val="21"/>
                      <w:szCs w:val="22"/>
                      <w:lang w:val="en-US" w:eastAsia="zh-CN" w:bidi="ar-SA"/>
                    </w:rPr>
                  </w:pPr>
                </w:p>
              </w:tc>
              <w:tc>
                <w:tcPr>
                  <w:tcW w:w="819" w:type="dxa"/>
                  <w:vAlign w:val="center"/>
                </w:tcPr>
                <w:p>
                  <w:pPr>
                    <w:pStyle w:val="39"/>
                    <w:bidi w:val="0"/>
                    <w:spacing w:line="240" w:lineRule="auto"/>
                    <w:jc w:val="center"/>
                    <w:rPr>
                      <w:rFonts w:hint="default" w:ascii="Times New Roman" w:hAnsi="Times New Roman" w:eastAsia="宋体" w:cs="Times New Roman"/>
                      <w:color w:val="auto"/>
                      <w:kern w:val="0"/>
                      <w:sz w:val="21"/>
                      <w:szCs w:val="22"/>
                      <w:lang w:val="en-US" w:eastAsia="zh-CN" w:bidi="ar-SA"/>
                    </w:rPr>
                  </w:pPr>
                  <w:r>
                    <w:rPr>
                      <w:rFonts w:hint="eastAsia" w:cs="Times New Roman"/>
                      <w:color w:val="auto"/>
                      <w:kern w:val="0"/>
                      <w:sz w:val="21"/>
                      <w:szCs w:val="22"/>
                      <w:lang w:val="en-US" w:eastAsia="zh-CN" w:bidi="ar-SA"/>
                    </w:rPr>
                    <w:t>1</w:t>
                  </w:r>
                </w:p>
              </w:tc>
              <w:tc>
                <w:tcPr>
                  <w:tcW w:w="1152" w:type="dxa"/>
                  <w:vAlign w:val="center"/>
                </w:tcPr>
                <w:p>
                  <w:pPr>
                    <w:pStyle w:val="39"/>
                    <w:bidi w:val="0"/>
                    <w:spacing w:line="240" w:lineRule="auto"/>
                    <w:jc w:val="center"/>
                    <w:rPr>
                      <w:rFonts w:hint="eastAsia" w:ascii="Times New Roman" w:hAnsi="Times New Roman" w:eastAsia="宋体" w:cs="Times New Roman"/>
                      <w:color w:val="auto"/>
                      <w:kern w:val="0"/>
                      <w:sz w:val="21"/>
                      <w:szCs w:val="22"/>
                      <w:lang w:val="en-US" w:eastAsia="zh-CN" w:bidi="ar-SA"/>
                    </w:rPr>
                  </w:pPr>
                  <w:r>
                    <w:rPr>
                      <w:rFonts w:hint="eastAsia"/>
                      <w:color w:val="auto"/>
                      <w:lang w:val="en-US" w:eastAsia="zh-CN"/>
                    </w:rPr>
                    <w:t>砂处理系统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32" w:type="dxa"/>
                  <w:vAlign w:val="center"/>
                </w:tcPr>
                <w:p>
                  <w:pPr>
                    <w:pStyle w:val="39"/>
                    <w:bidi w:val="0"/>
                    <w:spacing w:line="240" w:lineRule="auto"/>
                    <w:jc w:val="center"/>
                    <w:rPr>
                      <w:rFonts w:hint="eastAsia" w:eastAsia="宋体"/>
                      <w:color w:val="auto"/>
                      <w:lang w:val="en-US" w:eastAsia="zh-CN"/>
                    </w:rPr>
                  </w:pPr>
                  <w:r>
                    <w:rPr>
                      <w:rFonts w:hint="eastAsia"/>
                      <w:color w:val="auto"/>
                      <w:lang w:val="en-US" w:eastAsia="zh-CN"/>
                    </w:rPr>
                    <w:t>4</w:t>
                  </w:r>
                </w:p>
              </w:tc>
              <w:tc>
                <w:tcPr>
                  <w:tcW w:w="1616" w:type="dxa"/>
                  <w:vAlign w:val="center"/>
                </w:tcPr>
                <w:p>
                  <w:pPr>
                    <w:pStyle w:val="39"/>
                    <w:bidi w:val="0"/>
                    <w:spacing w:line="240" w:lineRule="auto"/>
                    <w:jc w:val="center"/>
                    <w:rPr>
                      <w:rFonts w:hint="default" w:ascii="Times New Roman" w:hAnsi="Times New Roman" w:eastAsia="宋体" w:cs="Times New Roman"/>
                      <w:color w:val="auto"/>
                      <w:kern w:val="0"/>
                      <w:sz w:val="21"/>
                      <w:szCs w:val="22"/>
                      <w:lang w:val="en-US" w:eastAsia="zh-CN" w:bidi="ar-SA"/>
                    </w:rPr>
                  </w:pPr>
                  <w:r>
                    <w:rPr>
                      <w:rFonts w:hint="eastAsia"/>
                      <w:color w:val="auto"/>
                      <w:lang w:val="en-US" w:eastAsia="zh-CN"/>
                    </w:rPr>
                    <w:t>铸件抛丸清理机</w:t>
                  </w:r>
                </w:p>
              </w:tc>
              <w:tc>
                <w:tcPr>
                  <w:tcW w:w="1619" w:type="dxa"/>
                  <w:vAlign w:val="center"/>
                </w:tcPr>
                <w:p>
                  <w:pPr>
                    <w:pStyle w:val="39"/>
                    <w:bidi w:val="0"/>
                    <w:spacing w:line="240" w:lineRule="auto"/>
                    <w:jc w:val="center"/>
                    <w:rPr>
                      <w:rFonts w:hint="eastAsia" w:ascii="Times New Roman" w:hAnsi="Times New Roman" w:eastAsia="宋体" w:cs="Times New Roman"/>
                      <w:color w:val="auto"/>
                      <w:kern w:val="0"/>
                      <w:sz w:val="21"/>
                      <w:szCs w:val="22"/>
                      <w:lang w:val="en-US" w:eastAsia="zh-CN" w:bidi="ar-SA"/>
                    </w:rPr>
                  </w:pPr>
                  <w:r>
                    <w:rPr>
                      <w:rFonts w:hint="eastAsia"/>
                      <w:color w:val="auto"/>
                      <w:lang w:val="en-US" w:eastAsia="zh-CN"/>
                    </w:rPr>
                    <w:t>Q376</w:t>
                  </w:r>
                </w:p>
              </w:tc>
              <w:tc>
                <w:tcPr>
                  <w:tcW w:w="2197" w:type="dxa"/>
                  <w:vAlign w:val="center"/>
                </w:tcPr>
                <w:p>
                  <w:pPr>
                    <w:pStyle w:val="39"/>
                    <w:bidi w:val="0"/>
                    <w:spacing w:line="240" w:lineRule="auto"/>
                    <w:jc w:val="center"/>
                    <w:rPr>
                      <w:rFonts w:hint="eastAsia" w:ascii="Times New Roman" w:hAnsi="Times New Roman" w:eastAsia="宋体" w:cs="Times New Roman"/>
                      <w:color w:val="auto"/>
                      <w:kern w:val="0"/>
                      <w:sz w:val="21"/>
                      <w:szCs w:val="22"/>
                      <w:lang w:val="en-US" w:eastAsia="zh-CN" w:bidi="ar-SA"/>
                    </w:rPr>
                  </w:pPr>
                  <w:r>
                    <w:rPr>
                      <w:rFonts w:hint="eastAsia"/>
                      <w:color w:val="auto"/>
                      <w:lang w:val="en-US" w:eastAsia="zh-CN"/>
                    </w:rPr>
                    <w:t>中国盐城市爱达机械制造有限公司</w:t>
                  </w:r>
                </w:p>
              </w:tc>
              <w:tc>
                <w:tcPr>
                  <w:tcW w:w="819" w:type="dxa"/>
                  <w:vAlign w:val="center"/>
                </w:tcPr>
                <w:p>
                  <w:pPr>
                    <w:pStyle w:val="39"/>
                    <w:bidi w:val="0"/>
                    <w:spacing w:line="240" w:lineRule="auto"/>
                    <w:jc w:val="center"/>
                    <w:rPr>
                      <w:rFonts w:hint="eastAsia" w:ascii="Times New Roman" w:hAnsi="Times New Roman" w:eastAsia="宋体" w:cs="Times New Roman"/>
                      <w:color w:val="auto"/>
                      <w:kern w:val="0"/>
                      <w:sz w:val="21"/>
                      <w:szCs w:val="22"/>
                      <w:lang w:val="en-US" w:eastAsia="zh-CN" w:bidi="ar-SA"/>
                    </w:rPr>
                  </w:pPr>
                  <w:r>
                    <w:rPr>
                      <w:rFonts w:hint="eastAsia"/>
                      <w:color w:val="auto"/>
                      <w:lang w:val="en-US" w:eastAsia="zh-CN"/>
                    </w:rPr>
                    <w:t>1</w:t>
                  </w:r>
                </w:p>
              </w:tc>
              <w:tc>
                <w:tcPr>
                  <w:tcW w:w="1152" w:type="dxa"/>
                  <w:vAlign w:val="center"/>
                </w:tcPr>
                <w:p>
                  <w:pPr>
                    <w:pStyle w:val="39"/>
                    <w:bidi w:val="0"/>
                    <w:spacing w:line="240" w:lineRule="auto"/>
                    <w:jc w:val="center"/>
                    <w:rPr>
                      <w:rFonts w:hint="eastAsia" w:ascii="Times New Roman" w:hAnsi="Times New Roman" w:eastAsia="宋体" w:cs="Times New Roman"/>
                      <w:color w:val="auto"/>
                      <w:kern w:val="0"/>
                      <w:sz w:val="21"/>
                      <w:szCs w:val="22"/>
                      <w:lang w:val="en-US" w:eastAsia="zh-CN" w:bidi="ar-SA"/>
                    </w:rPr>
                  </w:pPr>
                  <w:r>
                    <w:rPr>
                      <w:rFonts w:hint="eastAsia"/>
                      <w:color w:val="auto"/>
                      <w:lang w:val="en-US" w:eastAsia="zh-CN"/>
                    </w:rPr>
                    <w:t>清理单元</w:t>
                  </w:r>
                </w:p>
              </w:tc>
            </w:tr>
          </w:tbl>
          <w:p>
            <w:pPr>
              <w:pStyle w:val="41"/>
              <w:bidi w:val="0"/>
              <w:spacing w:line="360" w:lineRule="auto"/>
              <w:rPr>
                <w:b/>
                <w:bCs/>
                <w:color w:val="auto"/>
              </w:rPr>
            </w:pPr>
            <w:r>
              <w:rPr>
                <w:rFonts w:hint="eastAsia"/>
                <w:b/>
                <w:bCs/>
                <w:color w:val="auto"/>
                <w:lang w:val="en-US" w:eastAsia="zh-CN"/>
              </w:rPr>
              <w:t>5、</w:t>
            </w:r>
            <w:r>
              <w:rPr>
                <w:b/>
                <w:bCs/>
                <w:color w:val="auto"/>
              </w:rPr>
              <w:t>主要原辅材料</w:t>
            </w:r>
          </w:p>
          <w:p>
            <w:pPr>
              <w:pStyle w:val="41"/>
              <w:bidi w:val="0"/>
              <w:rPr>
                <w:color w:val="auto"/>
              </w:rPr>
            </w:pPr>
            <w:r>
              <w:rPr>
                <w:rFonts w:hint="eastAsia"/>
                <w:color w:val="auto"/>
                <w:lang w:eastAsia="zh-CN"/>
              </w:rPr>
              <w:t>项目</w:t>
            </w:r>
            <w:r>
              <w:rPr>
                <w:color w:val="auto"/>
              </w:rPr>
              <w:t>主要原辅材料消耗见</w:t>
            </w:r>
            <w:r>
              <w:rPr>
                <w:rFonts w:hint="eastAsia"/>
                <w:color w:val="auto"/>
                <w:lang w:eastAsia="zh-CN"/>
              </w:rPr>
              <w:t>下表</w:t>
            </w:r>
            <w:r>
              <w:rPr>
                <w:color w:val="auto"/>
              </w:rPr>
              <w:t>：</w:t>
            </w:r>
          </w:p>
          <w:p>
            <w:pPr>
              <w:pStyle w:val="70"/>
              <w:keepNext w:val="0"/>
              <w:keepLines w:val="0"/>
              <w:pageBreakBefore w:val="0"/>
              <w:widowControl/>
              <w:kinsoku/>
              <w:wordWrap/>
              <w:overflowPunct/>
              <w:topLinePunct w:val="0"/>
              <w:autoSpaceDE/>
              <w:autoSpaceDN/>
              <w:bidi w:val="0"/>
              <w:adjustRightInd/>
              <w:snapToGrid/>
              <w:spacing w:before="0" w:after="0"/>
              <w:textAlignment w:val="auto"/>
              <w:rPr>
                <w:color w:val="auto"/>
              </w:rPr>
            </w:pPr>
          </w:p>
          <w:p>
            <w:pPr>
              <w:pStyle w:val="70"/>
              <w:keepNext w:val="0"/>
              <w:keepLines w:val="0"/>
              <w:pageBreakBefore w:val="0"/>
              <w:widowControl/>
              <w:kinsoku/>
              <w:wordWrap/>
              <w:overflowPunct/>
              <w:topLinePunct w:val="0"/>
              <w:autoSpaceDE/>
              <w:autoSpaceDN/>
              <w:bidi w:val="0"/>
              <w:adjustRightInd/>
              <w:snapToGrid/>
              <w:spacing w:before="0" w:after="0"/>
              <w:textAlignment w:val="auto"/>
              <w:rPr>
                <w:color w:val="auto"/>
              </w:rPr>
            </w:pPr>
          </w:p>
          <w:p>
            <w:pPr>
              <w:pStyle w:val="70"/>
              <w:keepNext w:val="0"/>
              <w:keepLines w:val="0"/>
              <w:pageBreakBefore w:val="0"/>
              <w:widowControl/>
              <w:kinsoku/>
              <w:wordWrap/>
              <w:overflowPunct/>
              <w:topLinePunct w:val="0"/>
              <w:autoSpaceDE/>
              <w:autoSpaceDN/>
              <w:bidi w:val="0"/>
              <w:adjustRightInd/>
              <w:snapToGrid/>
              <w:spacing w:before="0" w:after="0"/>
              <w:textAlignment w:val="auto"/>
              <w:rPr>
                <w:color w:val="auto"/>
              </w:rPr>
            </w:pPr>
          </w:p>
          <w:p>
            <w:pPr>
              <w:pStyle w:val="70"/>
              <w:keepNext w:val="0"/>
              <w:keepLines w:val="0"/>
              <w:pageBreakBefore w:val="0"/>
              <w:widowControl/>
              <w:kinsoku/>
              <w:wordWrap/>
              <w:overflowPunct/>
              <w:topLinePunct w:val="0"/>
              <w:autoSpaceDE/>
              <w:autoSpaceDN/>
              <w:bidi w:val="0"/>
              <w:adjustRightInd/>
              <w:snapToGrid/>
              <w:spacing w:before="0" w:after="0"/>
              <w:textAlignment w:val="auto"/>
              <w:rPr>
                <w:color w:val="auto"/>
              </w:rPr>
            </w:pPr>
          </w:p>
          <w:p>
            <w:pPr>
              <w:pStyle w:val="70"/>
              <w:keepNext w:val="0"/>
              <w:keepLines w:val="0"/>
              <w:pageBreakBefore w:val="0"/>
              <w:widowControl/>
              <w:kinsoku/>
              <w:wordWrap/>
              <w:overflowPunct/>
              <w:topLinePunct w:val="0"/>
              <w:autoSpaceDE/>
              <w:autoSpaceDN/>
              <w:bidi w:val="0"/>
              <w:adjustRightInd/>
              <w:snapToGrid/>
              <w:spacing w:before="0" w:after="0"/>
              <w:textAlignment w:val="auto"/>
              <w:rPr>
                <w:color w:val="auto"/>
              </w:rPr>
            </w:pPr>
            <w:r>
              <w:rPr>
                <w:color w:val="auto"/>
              </w:rPr>
              <w:t>表</w:t>
            </w:r>
            <w:r>
              <w:rPr>
                <w:rFonts w:hint="eastAsia"/>
                <w:color w:val="auto"/>
                <w:lang w:val="en-US" w:eastAsia="zh-CN"/>
              </w:rPr>
              <w:t>2</w:t>
            </w:r>
            <w:r>
              <w:rPr>
                <w:color w:val="auto"/>
              </w:rPr>
              <w:t>-</w:t>
            </w:r>
            <w:r>
              <w:rPr>
                <w:rFonts w:hint="eastAsia"/>
                <w:color w:val="auto"/>
                <w:lang w:val="en-US" w:eastAsia="zh-CN"/>
              </w:rPr>
              <w:t>6</w:t>
            </w:r>
            <w:r>
              <w:rPr>
                <w:color w:val="auto"/>
              </w:rPr>
              <w:t xml:space="preserve"> </w:t>
            </w:r>
            <w:r>
              <w:rPr>
                <w:rFonts w:hint="eastAsia"/>
                <w:color w:val="auto"/>
              </w:rPr>
              <w:t>项目</w:t>
            </w:r>
            <w:r>
              <w:rPr>
                <w:color w:val="auto"/>
              </w:rPr>
              <w:t>原辅材料</w:t>
            </w:r>
            <w:r>
              <w:rPr>
                <w:rFonts w:hint="eastAsia"/>
                <w:color w:val="auto"/>
                <w:lang w:eastAsia="zh-CN"/>
              </w:rPr>
              <w:t>及能源</w:t>
            </w:r>
            <w:r>
              <w:rPr>
                <w:color w:val="auto"/>
              </w:rPr>
              <w:t>消耗一览表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00"/>
              <w:gridCol w:w="945"/>
              <w:gridCol w:w="1170"/>
              <w:gridCol w:w="720"/>
              <w:gridCol w:w="690"/>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28" w:type="dxa"/>
                  <w:noWrap w:val="0"/>
                  <w:vAlign w:val="center"/>
                </w:tcPr>
                <w:p>
                  <w:pPr>
                    <w:pStyle w:val="39"/>
                    <w:bidi w:val="0"/>
                    <w:jc w:val="center"/>
                    <w:rPr>
                      <w:rFonts w:hint="eastAsia" w:eastAsia="宋体"/>
                      <w:color w:val="auto"/>
                      <w:sz w:val="21"/>
                      <w:szCs w:val="21"/>
                      <w:lang w:eastAsia="zh-CN"/>
                    </w:rPr>
                  </w:pPr>
                  <w:r>
                    <w:rPr>
                      <w:rFonts w:hint="eastAsia"/>
                      <w:color w:val="auto"/>
                      <w:sz w:val="21"/>
                      <w:szCs w:val="21"/>
                      <w:lang w:eastAsia="zh-CN"/>
                    </w:rPr>
                    <w:t>序号</w:t>
                  </w:r>
                </w:p>
              </w:tc>
              <w:tc>
                <w:tcPr>
                  <w:tcW w:w="900" w:type="dxa"/>
                  <w:noWrap w:val="0"/>
                  <w:vAlign w:val="center"/>
                </w:tcPr>
                <w:p>
                  <w:pPr>
                    <w:pStyle w:val="39"/>
                    <w:bidi w:val="0"/>
                    <w:jc w:val="center"/>
                    <w:rPr>
                      <w:rFonts w:hint="default"/>
                      <w:color w:val="auto"/>
                      <w:sz w:val="21"/>
                      <w:szCs w:val="21"/>
                      <w:lang w:val="en-US" w:eastAsia="zh-CN"/>
                    </w:rPr>
                  </w:pPr>
                  <w:r>
                    <w:rPr>
                      <w:rFonts w:hint="eastAsia"/>
                      <w:color w:val="auto"/>
                      <w:sz w:val="21"/>
                      <w:szCs w:val="21"/>
                      <w:lang w:val="en-US" w:eastAsia="zh-CN"/>
                    </w:rPr>
                    <w:t>原辅料</w:t>
                  </w:r>
                </w:p>
              </w:tc>
              <w:tc>
                <w:tcPr>
                  <w:tcW w:w="2115" w:type="dxa"/>
                  <w:gridSpan w:val="2"/>
                  <w:noWrap w:val="0"/>
                  <w:vAlign w:val="center"/>
                </w:tcPr>
                <w:p>
                  <w:pPr>
                    <w:pStyle w:val="39"/>
                    <w:bidi w:val="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名称</w:t>
                  </w:r>
                </w:p>
              </w:tc>
              <w:tc>
                <w:tcPr>
                  <w:tcW w:w="720" w:type="dxa"/>
                  <w:noWrap w:val="0"/>
                  <w:vAlign w:val="center"/>
                </w:tcPr>
                <w:p>
                  <w:pPr>
                    <w:pStyle w:val="39"/>
                    <w:bidi w:val="0"/>
                    <w:jc w:val="center"/>
                    <w:rPr>
                      <w:rFonts w:hint="eastAsia"/>
                      <w:color w:val="auto"/>
                      <w:sz w:val="21"/>
                      <w:szCs w:val="21"/>
                      <w:lang w:eastAsia="zh-CN"/>
                    </w:rPr>
                  </w:pPr>
                  <w:r>
                    <w:rPr>
                      <w:rFonts w:hint="eastAsia"/>
                      <w:color w:val="auto"/>
                      <w:sz w:val="21"/>
                      <w:szCs w:val="21"/>
                      <w:lang w:eastAsia="zh-CN"/>
                    </w:rPr>
                    <w:t>单位</w:t>
                  </w:r>
                </w:p>
              </w:tc>
              <w:tc>
                <w:tcPr>
                  <w:tcW w:w="690" w:type="dxa"/>
                  <w:noWrap w:val="0"/>
                  <w:vAlign w:val="center"/>
                </w:tcPr>
                <w:p>
                  <w:pPr>
                    <w:pStyle w:val="39"/>
                    <w:bidi w:val="0"/>
                    <w:jc w:val="center"/>
                    <w:rPr>
                      <w:rFonts w:hint="eastAsia"/>
                      <w:color w:val="auto"/>
                      <w:sz w:val="21"/>
                      <w:szCs w:val="21"/>
                      <w:lang w:eastAsia="zh-CN"/>
                    </w:rPr>
                  </w:pPr>
                  <w:r>
                    <w:rPr>
                      <w:rFonts w:hint="eastAsia"/>
                      <w:color w:val="auto"/>
                      <w:sz w:val="21"/>
                      <w:szCs w:val="21"/>
                      <w:lang w:eastAsia="zh-CN"/>
                    </w:rPr>
                    <w:t>用量</w:t>
                  </w:r>
                </w:p>
              </w:tc>
              <w:tc>
                <w:tcPr>
                  <w:tcW w:w="2682" w:type="dxa"/>
                  <w:noWrap w:val="0"/>
                  <w:vAlign w:val="center"/>
                </w:tcPr>
                <w:p>
                  <w:pPr>
                    <w:pStyle w:val="39"/>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color w:val="auto"/>
                      <w:sz w:val="21"/>
                      <w:szCs w:val="21"/>
                      <w:lang w:eastAsia="zh-CN"/>
                    </w:rPr>
                  </w:pPr>
                  <w:r>
                    <w:rPr>
                      <w:rFonts w:hint="eastAsia"/>
                      <w:color w:val="auto"/>
                      <w:sz w:val="21"/>
                      <w:szCs w:val="21"/>
                      <w:lang w:val="en-US" w:eastAsia="zh-CN"/>
                    </w:rPr>
                    <w:t>包装方式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9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原料</w:t>
                  </w:r>
                </w:p>
              </w:tc>
              <w:tc>
                <w:tcPr>
                  <w:tcW w:w="2115" w:type="dxa"/>
                  <w:gridSpan w:val="2"/>
                  <w:noWrap w:val="0"/>
                  <w:vAlign w:val="center"/>
                </w:tcPr>
                <w:p>
                  <w:pPr>
                    <w:pStyle w:val="68"/>
                    <w:bidi w:val="0"/>
                    <w:rPr>
                      <w:rFonts w:hint="default"/>
                      <w:color w:val="auto"/>
                      <w:lang w:val="en-US" w:eastAsia="zh-CN"/>
                    </w:rPr>
                  </w:pPr>
                  <w:r>
                    <w:rPr>
                      <w:rFonts w:hint="eastAsia"/>
                      <w:color w:val="auto"/>
                      <w:lang w:val="en-US" w:eastAsia="zh-CN"/>
                    </w:rPr>
                    <w:t>生铁</w:t>
                  </w:r>
                </w:p>
              </w:tc>
              <w:tc>
                <w:tcPr>
                  <w:tcW w:w="720" w:type="dxa"/>
                  <w:noWrap w:val="0"/>
                  <w:vAlign w:val="center"/>
                </w:tcPr>
                <w:p>
                  <w:pPr>
                    <w:pStyle w:val="66"/>
                    <w:bidi w:val="0"/>
                    <w:jc w:val="center"/>
                    <w:rPr>
                      <w:rFonts w:hint="default"/>
                      <w:b w:val="0"/>
                      <w:color w:val="auto"/>
                      <w:kern w:val="0"/>
                      <w:sz w:val="21"/>
                      <w:szCs w:val="21"/>
                      <w:lang w:val="en-US" w:eastAsia="zh-CN" w:bidi="ar-SA"/>
                    </w:rPr>
                  </w:pPr>
                  <w:r>
                    <w:rPr>
                      <w:rFonts w:hint="eastAsia"/>
                      <w:b w:val="0"/>
                      <w:color w:val="auto"/>
                      <w:kern w:val="0"/>
                      <w:sz w:val="21"/>
                      <w:szCs w:val="21"/>
                      <w:lang w:val="en-US" w:eastAsia="zh-CN" w:bidi="ar-SA"/>
                    </w:rPr>
                    <w:t>t/a</w:t>
                  </w:r>
                </w:p>
              </w:tc>
              <w:tc>
                <w:tcPr>
                  <w:tcW w:w="690" w:type="dxa"/>
                  <w:noWrap w:val="0"/>
                  <w:vAlign w:val="center"/>
                </w:tcPr>
                <w:p>
                  <w:pPr>
                    <w:pStyle w:val="68"/>
                    <w:bidi w:val="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w:t>
                  </w:r>
                </w:p>
              </w:tc>
              <w:tc>
                <w:tcPr>
                  <w:tcW w:w="2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eastAsia" w:ascii="Times New Roman" w:hAnsi="Times New Roman" w:cs="Times New Roman"/>
                      <w:color w:val="auto"/>
                      <w:spacing w:val="12"/>
                      <w:kern w:val="2"/>
                      <w:sz w:val="21"/>
                      <w:szCs w:val="21"/>
                      <w:lang w:val="en-US" w:eastAsia="zh-CN" w:bidi="ar-SA"/>
                    </w:rPr>
                  </w:pPr>
                  <w:r>
                    <w:rPr>
                      <w:rFonts w:hint="eastAsia" w:cs="Times New Roman"/>
                      <w:color w:val="auto"/>
                      <w:spacing w:val="12"/>
                      <w:kern w:val="2"/>
                      <w:sz w:val="21"/>
                      <w:szCs w:val="21"/>
                      <w:lang w:val="en-US" w:eastAsia="zh-CN" w:bidi="ar-SA"/>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900"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辅料</w:t>
                  </w:r>
                </w:p>
              </w:tc>
              <w:tc>
                <w:tcPr>
                  <w:tcW w:w="2115" w:type="dxa"/>
                  <w:gridSpan w:val="2"/>
                  <w:noWrap w:val="0"/>
                  <w:vAlign w:val="center"/>
                </w:tcPr>
                <w:p>
                  <w:pPr>
                    <w:pStyle w:val="68"/>
                    <w:bidi w:val="0"/>
                    <w:rPr>
                      <w:rFonts w:hint="default"/>
                      <w:color w:val="auto"/>
                      <w:lang w:val="en-US" w:eastAsia="zh-CN"/>
                    </w:rPr>
                  </w:pPr>
                  <w:r>
                    <w:rPr>
                      <w:rFonts w:hint="eastAsia"/>
                      <w:color w:val="auto"/>
                      <w:lang w:val="en-US" w:eastAsia="zh-CN"/>
                    </w:rPr>
                    <w:t>硅铁</w:t>
                  </w:r>
                </w:p>
              </w:tc>
              <w:tc>
                <w:tcPr>
                  <w:tcW w:w="720" w:type="dxa"/>
                  <w:noWrap w:val="0"/>
                  <w:vAlign w:val="center"/>
                </w:tcPr>
                <w:p>
                  <w:pPr>
                    <w:pStyle w:val="66"/>
                    <w:bidi w:val="0"/>
                    <w:jc w:val="center"/>
                    <w:rPr>
                      <w:rFonts w:hint="eastAsia"/>
                      <w:b w:val="0"/>
                      <w:color w:val="auto"/>
                      <w:kern w:val="0"/>
                      <w:sz w:val="21"/>
                      <w:szCs w:val="21"/>
                      <w:lang w:val="en-US" w:eastAsia="zh-CN" w:bidi="ar-SA"/>
                    </w:rPr>
                  </w:pPr>
                  <w:r>
                    <w:rPr>
                      <w:rFonts w:hint="eastAsia"/>
                      <w:b w:val="0"/>
                      <w:color w:val="auto"/>
                      <w:kern w:val="0"/>
                      <w:sz w:val="21"/>
                      <w:szCs w:val="21"/>
                      <w:lang w:val="en-US" w:eastAsia="zh-CN" w:bidi="ar-SA"/>
                    </w:rPr>
                    <w:t>t/a</w:t>
                  </w:r>
                </w:p>
              </w:tc>
              <w:tc>
                <w:tcPr>
                  <w:tcW w:w="690" w:type="dxa"/>
                  <w:noWrap w:val="0"/>
                  <w:vAlign w:val="center"/>
                </w:tcPr>
                <w:p>
                  <w:pPr>
                    <w:pStyle w:val="68"/>
                    <w:bidi w:val="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2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eastAsia" w:cs="Times New Roman"/>
                      <w:color w:val="auto"/>
                      <w:spacing w:val="12"/>
                      <w:kern w:val="2"/>
                      <w:sz w:val="21"/>
                      <w:szCs w:val="21"/>
                      <w:lang w:val="en-US" w:eastAsia="zh-CN" w:bidi="ar-SA"/>
                    </w:rPr>
                  </w:pPr>
                  <w:r>
                    <w:rPr>
                      <w:rFonts w:hint="eastAsia" w:cs="Times New Roman"/>
                      <w:color w:val="auto"/>
                      <w:spacing w:val="12"/>
                      <w:kern w:val="2"/>
                      <w:sz w:val="21"/>
                      <w:szCs w:val="21"/>
                      <w:lang w:val="en-US" w:eastAsia="zh-CN" w:bidi="ar-SA"/>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900" w:type="dxa"/>
                  <w:vMerge w:val="continue"/>
                  <w:noWrap w:val="0"/>
                  <w:vAlign w:val="center"/>
                </w:tcPr>
                <w:p>
                  <w:pPr>
                    <w:keepNext w:val="0"/>
                    <w:keepLines w:val="0"/>
                    <w:widowControl/>
                    <w:suppressLineNumbers w:val="0"/>
                    <w:jc w:val="center"/>
                    <w:textAlignment w:val="center"/>
                    <w:rPr>
                      <w:rFonts w:hint="eastAsia" w:cs="Times New Roman"/>
                      <w:color w:val="auto"/>
                      <w:kern w:val="2"/>
                      <w:sz w:val="21"/>
                      <w:szCs w:val="21"/>
                      <w:lang w:val="en-US" w:eastAsia="zh-CN" w:bidi="ar-SA"/>
                    </w:rPr>
                  </w:pPr>
                </w:p>
              </w:tc>
              <w:tc>
                <w:tcPr>
                  <w:tcW w:w="2115" w:type="dxa"/>
                  <w:gridSpan w:val="2"/>
                  <w:noWrap w:val="0"/>
                  <w:vAlign w:val="center"/>
                </w:tcPr>
                <w:p>
                  <w:pPr>
                    <w:pStyle w:val="39"/>
                    <w:bidi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增碳剂</w:t>
                  </w:r>
                </w:p>
              </w:tc>
              <w:tc>
                <w:tcPr>
                  <w:tcW w:w="720" w:type="dxa"/>
                  <w:noWrap w:val="0"/>
                  <w:vAlign w:val="center"/>
                </w:tcPr>
                <w:p>
                  <w:pPr>
                    <w:bidi w:val="0"/>
                    <w:jc w:val="center"/>
                    <w:rPr>
                      <w:rFonts w:hint="eastAsia" w:ascii="Times New Roman" w:hAnsi="Times New Roman" w:eastAsia="宋体" w:cs="Times New Roman"/>
                      <w:b w:val="0"/>
                      <w:color w:val="auto"/>
                      <w:kern w:val="0"/>
                      <w:sz w:val="21"/>
                      <w:szCs w:val="21"/>
                      <w:lang w:val="en-US" w:eastAsia="zh-CN" w:bidi="ar-SA"/>
                    </w:rPr>
                  </w:pPr>
                  <w:r>
                    <w:rPr>
                      <w:rFonts w:hint="eastAsia"/>
                      <w:b w:val="0"/>
                      <w:color w:val="auto"/>
                      <w:kern w:val="0"/>
                      <w:sz w:val="21"/>
                      <w:szCs w:val="21"/>
                      <w:lang w:val="en-US" w:eastAsia="zh-CN" w:bidi="ar-SA"/>
                    </w:rPr>
                    <w:t>t/a</w:t>
                  </w:r>
                </w:p>
              </w:tc>
              <w:tc>
                <w:tcPr>
                  <w:tcW w:w="690" w:type="dxa"/>
                  <w:noWrap w:val="0"/>
                  <w:vAlign w:val="center"/>
                </w:tcPr>
                <w:p>
                  <w:pPr>
                    <w:pStyle w:val="68"/>
                    <w:bidi w:val="0"/>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2.4</w:t>
                  </w:r>
                </w:p>
              </w:tc>
              <w:tc>
                <w:tcPr>
                  <w:tcW w:w="2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eastAsia" w:ascii="Times New Roman" w:hAnsi="Times New Roman" w:eastAsia="宋体" w:cs="Times New Roman"/>
                      <w:color w:val="auto"/>
                      <w:spacing w:val="12"/>
                      <w:kern w:val="2"/>
                      <w:sz w:val="21"/>
                      <w:szCs w:val="21"/>
                      <w:lang w:val="en-US" w:eastAsia="zh-CN" w:bidi="ar-SA"/>
                    </w:rPr>
                  </w:pPr>
                  <w:r>
                    <w:rPr>
                      <w:rFonts w:hint="eastAsia" w:cs="Times New Roman"/>
                      <w:color w:val="auto"/>
                      <w:spacing w:val="12"/>
                      <w:kern w:val="2"/>
                      <w:sz w:val="21"/>
                      <w:szCs w:val="21"/>
                      <w:lang w:val="en-US" w:eastAsia="zh-CN" w:bidi="ar-SA"/>
                    </w:rPr>
                    <w:t>六安市金丰炉料销售有限公司，袋装、固态、25kg/袋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w:t>
                  </w:r>
                </w:p>
              </w:tc>
              <w:tc>
                <w:tcPr>
                  <w:tcW w:w="900" w:type="dxa"/>
                  <w:vMerge w:val="continue"/>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c>
                <w:tcPr>
                  <w:tcW w:w="2115" w:type="dxa"/>
                  <w:gridSpan w:val="2"/>
                  <w:noWrap w:val="0"/>
                  <w:vAlign w:val="center"/>
                </w:tcPr>
                <w:p>
                  <w:pPr>
                    <w:pStyle w:val="68"/>
                    <w:bidi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膨润土</w:t>
                  </w:r>
                </w:p>
              </w:tc>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b w:val="0"/>
                      <w:color w:val="auto"/>
                      <w:kern w:val="0"/>
                      <w:sz w:val="21"/>
                      <w:szCs w:val="21"/>
                      <w:lang w:val="en-US" w:eastAsia="zh-CN" w:bidi="ar-SA"/>
                    </w:rPr>
                  </w:pPr>
                  <w:r>
                    <w:rPr>
                      <w:rFonts w:hint="eastAsia"/>
                      <w:b w:val="0"/>
                      <w:color w:val="auto"/>
                      <w:kern w:val="0"/>
                      <w:sz w:val="21"/>
                      <w:szCs w:val="21"/>
                      <w:lang w:val="en-US" w:eastAsia="zh-CN" w:bidi="ar-SA"/>
                    </w:rPr>
                    <w:t>t/a</w:t>
                  </w:r>
                </w:p>
              </w:tc>
              <w:tc>
                <w:tcPr>
                  <w:tcW w:w="690" w:type="dxa"/>
                  <w:noWrap w:val="0"/>
                  <w:vAlign w:val="center"/>
                </w:tcPr>
                <w:p>
                  <w:pPr>
                    <w:pStyle w:val="68"/>
                    <w:bidi w:val="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cs="Times New Roman"/>
                      <w:color w:val="auto"/>
                      <w:spacing w:val="12"/>
                      <w:kern w:val="2"/>
                      <w:sz w:val="21"/>
                      <w:szCs w:val="21"/>
                      <w:lang w:val="en-US" w:eastAsia="zh-CN" w:bidi="ar-SA"/>
                    </w:rPr>
                  </w:pPr>
                  <w:r>
                    <w:rPr>
                      <w:rFonts w:hint="eastAsia" w:cs="Times New Roman"/>
                      <w:color w:val="auto"/>
                      <w:spacing w:val="12"/>
                      <w:kern w:val="2"/>
                      <w:sz w:val="21"/>
                      <w:szCs w:val="21"/>
                      <w:lang w:val="en-US" w:eastAsia="zh-CN" w:bidi="ar-SA"/>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900" w:type="dxa"/>
                  <w:vMerge w:val="continue"/>
                  <w:noWrap w:val="0"/>
                  <w:vAlign w:val="center"/>
                </w:tcPr>
                <w:p>
                  <w:pPr>
                    <w:keepNext w:val="0"/>
                    <w:keepLines w:val="0"/>
                    <w:widowControl/>
                    <w:suppressLineNumbers w:val="0"/>
                    <w:jc w:val="center"/>
                    <w:textAlignment w:val="center"/>
                    <w:rPr>
                      <w:rFonts w:hint="eastAsia" w:cs="Times New Roman"/>
                      <w:color w:val="auto"/>
                      <w:kern w:val="2"/>
                      <w:sz w:val="21"/>
                      <w:szCs w:val="21"/>
                      <w:lang w:val="en-US" w:eastAsia="zh-CN" w:bidi="ar-SA"/>
                    </w:rPr>
                  </w:pPr>
                </w:p>
              </w:tc>
              <w:tc>
                <w:tcPr>
                  <w:tcW w:w="2115" w:type="dxa"/>
                  <w:gridSpan w:val="2"/>
                  <w:noWrap w:val="0"/>
                  <w:vAlign w:val="center"/>
                </w:tcPr>
                <w:p>
                  <w:pPr>
                    <w:pStyle w:val="68"/>
                    <w:bidi w:val="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硅砂（石英砂）</w:t>
                  </w:r>
                </w:p>
              </w:tc>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b w:val="0"/>
                      <w:color w:val="auto"/>
                      <w:kern w:val="0"/>
                      <w:sz w:val="21"/>
                      <w:szCs w:val="21"/>
                      <w:lang w:val="en-US" w:eastAsia="zh-CN" w:bidi="ar-SA"/>
                    </w:rPr>
                  </w:pPr>
                  <w:r>
                    <w:rPr>
                      <w:rFonts w:hint="eastAsia"/>
                      <w:b w:val="0"/>
                      <w:color w:val="auto"/>
                      <w:kern w:val="0"/>
                      <w:sz w:val="21"/>
                      <w:szCs w:val="21"/>
                      <w:lang w:val="en-US" w:eastAsia="zh-CN" w:bidi="ar-SA"/>
                    </w:rPr>
                    <w:t>t/a</w:t>
                  </w:r>
                </w:p>
              </w:tc>
              <w:tc>
                <w:tcPr>
                  <w:tcW w:w="690" w:type="dxa"/>
                  <w:noWrap w:val="0"/>
                  <w:vAlign w:val="center"/>
                </w:tcPr>
                <w:p>
                  <w:pPr>
                    <w:pStyle w:val="68"/>
                    <w:bidi w:val="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200</w:t>
                  </w:r>
                </w:p>
              </w:tc>
              <w:tc>
                <w:tcPr>
                  <w:tcW w:w="2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cs="Times New Roman"/>
                      <w:color w:val="auto"/>
                      <w:spacing w:val="12"/>
                      <w:kern w:val="2"/>
                      <w:sz w:val="21"/>
                      <w:szCs w:val="21"/>
                      <w:lang w:val="en-US" w:eastAsia="zh-CN" w:bidi="ar-SA"/>
                    </w:rPr>
                  </w:pPr>
                  <w:r>
                    <w:rPr>
                      <w:rFonts w:hint="eastAsia" w:cs="Times New Roman"/>
                      <w:color w:val="auto"/>
                      <w:spacing w:val="12"/>
                      <w:kern w:val="2"/>
                      <w:sz w:val="21"/>
                      <w:szCs w:val="21"/>
                      <w:lang w:val="en-US" w:eastAsia="zh-CN" w:bidi="ar-SA"/>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w:t>
                  </w:r>
                </w:p>
              </w:tc>
              <w:tc>
                <w:tcPr>
                  <w:tcW w:w="900" w:type="dxa"/>
                  <w:vMerge w:val="continue"/>
                  <w:noWrap w:val="0"/>
                  <w:vAlign w:val="center"/>
                </w:tcPr>
                <w:p>
                  <w:pPr>
                    <w:keepNext w:val="0"/>
                    <w:keepLines w:val="0"/>
                    <w:widowControl/>
                    <w:suppressLineNumbers w:val="0"/>
                    <w:jc w:val="center"/>
                    <w:textAlignment w:val="center"/>
                    <w:rPr>
                      <w:rFonts w:hint="eastAsia" w:cs="Times New Roman"/>
                      <w:color w:val="auto"/>
                      <w:kern w:val="2"/>
                      <w:sz w:val="21"/>
                      <w:szCs w:val="21"/>
                      <w:lang w:val="en-US" w:eastAsia="zh-CN" w:bidi="ar-SA"/>
                    </w:rPr>
                  </w:pPr>
                </w:p>
              </w:tc>
              <w:tc>
                <w:tcPr>
                  <w:tcW w:w="945" w:type="dxa"/>
                  <w:noWrap w:val="0"/>
                  <w:vAlign w:val="center"/>
                </w:tcPr>
                <w:p>
                  <w:pPr>
                    <w:pStyle w:val="39"/>
                    <w:bidi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树脂</w:t>
                  </w:r>
                </w:p>
              </w:tc>
              <w:tc>
                <w:tcPr>
                  <w:tcW w:w="1170" w:type="dxa"/>
                  <w:noWrap w:val="0"/>
                  <w:vAlign w:val="center"/>
                </w:tcPr>
                <w:p>
                  <w:pPr>
                    <w:pStyle w:val="39"/>
                    <w:bidi w:val="0"/>
                    <w:jc w:val="center"/>
                    <w:rPr>
                      <w:rFonts w:hint="eastAsia"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冷芯盒树脂I组份</w:t>
                  </w:r>
                </w:p>
              </w:tc>
              <w:tc>
                <w:tcPr>
                  <w:tcW w:w="720" w:type="dxa"/>
                  <w:noWrap w:val="0"/>
                  <w:vAlign w:val="center"/>
                </w:tcPr>
                <w:p>
                  <w:pPr>
                    <w:bidi w:val="0"/>
                    <w:jc w:val="center"/>
                    <w:rPr>
                      <w:rFonts w:hint="eastAsia" w:ascii="Times New Roman" w:hAnsi="Times New Roman" w:eastAsia="宋体" w:cs="Times New Roman"/>
                      <w:b w:val="0"/>
                      <w:color w:val="auto"/>
                      <w:kern w:val="0"/>
                      <w:sz w:val="21"/>
                      <w:szCs w:val="21"/>
                      <w:lang w:val="en-US" w:eastAsia="zh-CN" w:bidi="ar-SA"/>
                    </w:rPr>
                  </w:pPr>
                  <w:r>
                    <w:rPr>
                      <w:rFonts w:hint="eastAsia"/>
                      <w:b w:val="0"/>
                      <w:color w:val="auto"/>
                      <w:kern w:val="0"/>
                      <w:sz w:val="21"/>
                      <w:szCs w:val="21"/>
                      <w:lang w:val="en-US" w:eastAsia="zh-CN" w:bidi="ar-SA"/>
                    </w:rPr>
                    <w:t>t/a</w:t>
                  </w:r>
                </w:p>
              </w:tc>
              <w:tc>
                <w:tcPr>
                  <w:tcW w:w="690" w:type="dxa"/>
                  <w:noWrap w:val="0"/>
                  <w:vAlign w:val="center"/>
                </w:tcPr>
                <w:p>
                  <w:pPr>
                    <w:pStyle w:val="68"/>
                    <w:bidi w:val="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2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cs="Times New Roman"/>
                      <w:color w:val="auto"/>
                      <w:spacing w:val="12"/>
                      <w:kern w:val="2"/>
                      <w:sz w:val="21"/>
                      <w:szCs w:val="21"/>
                      <w:lang w:val="en-US" w:eastAsia="zh-CN" w:bidi="ar-SA"/>
                    </w:rPr>
                  </w:pPr>
                  <w:r>
                    <w:rPr>
                      <w:rFonts w:hint="eastAsia" w:cs="Times New Roman"/>
                      <w:color w:val="auto"/>
                      <w:spacing w:val="12"/>
                      <w:kern w:val="2"/>
                      <w:sz w:val="21"/>
                      <w:szCs w:val="21"/>
                      <w:lang w:val="en-US" w:eastAsia="zh-CN" w:bidi="ar-SA"/>
                    </w:rPr>
                    <w:t>液态、桶装，200kg/桶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w:t>
                  </w:r>
                </w:p>
              </w:tc>
              <w:tc>
                <w:tcPr>
                  <w:tcW w:w="900" w:type="dxa"/>
                  <w:vMerge w:val="continue"/>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c>
                <w:tcPr>
                  <w:tcW w:w="945" w:type="dxa"/>
                  <w:noWrap w:val="0"/>
                  <w:vAlign w:val="center"/>
                </w:tcPr>
                <w:p>
                  <w:pPr>
                    <w:pStyle w:val="39"/>
                    <w:bidi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固化剂</w:t>
                  </w:r>
                </w:p>
              </w:tc>
              <w:tc>
                <w:tcPr>
                  <w:tcW w:w="1170" w:type="dxa"/>
                  <w:noWrap w:val="0"/>
                  <w:vAlign w:val="center"/>
                </w:tcPr>
                <w:p>
                  <w:pPr>
                    <w:pStyle w:val="39"/>
                    <w:bidi w:val="0"/>
                    <w:jc w:val="center"/>
                    <w:rPr>
                      <w:rFonts w:hint="eastAsia"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冷芯盒树脂II组份</w:t>
                  </w:r>
                </w:p>
              </w:tc>
              <w:tc>
                <w:tcPr>
                  <w:tcW w:w="720" w:type="dxa"/>
                  <w:noWrap w:val="0"/>
                  <w:vAlign w:val="center"/>
                </w:tcPr>
                <w:p>
                  <w:pPr>
                    <w:bidi w:val="0"/>
                    <w:jc w:val="center"/>
                    <w:rPr>
                      <w:rFonts w:hint="eastAsia" w:ascii="Times New Roman" w:hAnsi="Times New Roman" w:eastAsia="宋体" w:cs="Times New Roman"/>
                      <w:b w:val="0"/>
                      <w:color w:val="auto"/>
                      <w:kern w:val="0"/>
                      <w:sz w:val="21"/>
                      <w:szCs w:val="21"/>
                      <w:lang w:val="en-US" w:eastAsia="zh-CN" w:bidi="ar-SA"/>
                    </w:rPr>
                  </w:pPr>
                  <w:r>
                    <w:rPr>
                      <w:rFonts w:hint="eastAsia"/>
                      <w:b w:val="0"/>
                      <w:color w:val="auto"/>
                      <w:kern w:val="0"/>
                      <w:sz w:val="21"/>
                      <w:szCs w:val="21"/>
                      <w:lang w:val="en-US" w:eastAsia="zh-CN" w:bidi="ar-SA"/>
                    </w:rPr>
                    <w:t>t/a</w:t>
                  </w:r>
                </w:p>
              </w:tc>
              <w:tc>
                <w:tcPr>
                  <w:tcW w:w="690" w:type="dxa"/>
                  <w:noWrap w:val="0"/>
                  <w:vAlign w:val="center"/>
                </w:tcPr>
                <w:p>
                  <w:pPr>
                    <w:pStyle w:val="68"/>
                    <w:bidi w:val="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2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eastAsia" w:ascii="Times New Roman" w:hAnsi="Times New Roman" w:eastAsia="宋体" w:cs="Times New Roman"/>
                      <w:color w:val="auto"/>
                      <w:spacing w:val="12"/>
                      <w:kern w:val="2"/>
                      <w:sz w:val="21"/>
                      <w:szCs w:val="21"/>
                      <w:lang w:val="en-US" w:eastAsia="zh-CN" w:bidi="ar-SA"/>
                    </w:rPr>
                  </w:pPr>
                  <w:r>
                    <w:rPr>
                      <w:rFonts w:hint="eastAsia" w:cs="Times New Roman"/>
                      <w:color w:val="auto"/>
                      <w:spacing w:val="12"/>
                      <w:kern w:val="2"/>
                      <w:sz w:val="21"/>
                      <w:szCs w:val="21"/>
                      <w:lang w:val="en-US" w:eastAsia="zh-CN" w:bidi="ar-SA"/>
                    </w:rPr>
                    <w:t>液态、桶装，200kg/桶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900" w:type="dxa"/>
                  <w:vMerge w:val="continue"/>
                  <w:noWrap w:val="0"/>
                  <w:vAlign w:val="center"/>
                </w:tcPr>
                <w:p>
                  <w:pPr>
                    <w:keepNext w:val="0"/>
                    <w:keepLines w:val="0"/>
                    <w:widowControl/>
                    <w:suppressLineNumbers w:val="0"/>
                    <w:jc w:val="center"/>
                    <w:textAlignment w:val="center"/>
                    <w:rPr>
                      <w:rFonts w:hint="eastAsia" w:cs="Times New Roman"/>
                      <w:color w:val="auto"/>
                      <w:kern w:val="2"/>
                      <w:sz w:val="21"/>
                      <w:szCs w:val="21"/>
                      <w:lang w:val="en-US" w:eastAsia="zh-CN" w:bidi="ar-SA"/>
                    </w:rPr>
                  </w:pPr>
                </w:p>
              </w:tc>
              <w:tc>
                <w:tcPr>
                  <w:tcW w:w="94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催化剂</w:t>
                  </w:r>
                </w:p>
              </w:tc>
              <w:tc>
                <w:tcPr>
                  <w:tcW w:w="1170" w:type="dxa"/>
                  <w:noWrap w:val="0"/>
                  <w:vAlign w:val="center"/>
                </w:tcPr>
                <w:p>
                  <w:pPr>
                    <w:keepNext w:val="0"/>
                    <w:keepLines w:val="0"/>
                    <w:widowControl/>
                    <w:suppressLineNumbers w:val="0"/>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三乙胺</w:t>
                  </w:r>
                </w:p>
              </w:tc>
              <w:tc>
                <w:tcPr>
                  <w:tcW w:w="720" w:type="dxa"/>
                  <w:noWrap w:val="0"/>
                  <w:vAlign w:val="center"/>
                </w:tcPr>
                <w:p>
                  <w:pPr>
                    <w:bidi w:val="0"/>
                    <w:jc w:val="center"/>
                    <w:rPr>
                      <w:rFonts w:hint="eastAsia" w:ascii="Times New Roman" w:hAnsi="Times New Roman" w:eastAsia="宋体" w:cs="Times New Roman"/>
                      <w:b w:val="0"/>
                      <w:color w:val="auto"/>
                      <w:kern w:val="0"/>
                      <w:sz w:val="21"/>
                      <w:szCs w:val="21"/>
                      <w:lang w:val="en-US" w:eastAsia="zh-CN" w:bidi="ar-SA"/>
                    </w:rPr>
                  </w:pPr>
                  <w:r>
                    <w:rPr>
                      <w:rFonts w:hint="eastAsia"/>
                      <w:b w:val="0"/>
                      <w:color w:val="auto"/>
                      <w:kern w:val="0"/>
                      <w:sz w:val="21"/>
                      <w:szCs w:val="21"/>
                      <w:lang w:val="en-US" w:eastAsia="zh-CN" w:bidi="ar-SA"/>
                    </w:rPr>
                    <w:t>t/a</w:t>
                  </w:r>
                </w:p>
              </w:tc>
              <w:tc>
                <w:tcPr>
                  <w:tcW w:w="690" w:type="dxa"/>
                  <w:noWrap w:val="0"/>
                  <w:vAlign w:val="center"/>
                </w:tcPr>
                <w:p>
                  <w:pPr>
                    <w:pStyle w:val="68"/>
                    <w:bidi w:val="0"/>
                    <w:rPr>
                      <w:rFonts w:hint="default" w:ascii="Times New Roman" w:hAnsi="Times New Roman" w:eastAsia="宋体" w:cs="Times New Roman"/>
                      <w:color w:val="auto"/>
                      <w:kern w:val="2"/>
                      <w:sz w:val="21"/>
                      <w:szCs w:val="21"/>
                      <w:lang w:val="en-US" w:eastAsia="zh-CN" w:bidi="ar-SA"/>
                    </w:rPr>
                  </w:pPr>
                  <w:r>
                    <w:rPr>
                      <w:rFonts w:hint="eastAsia"/>
                      <w:b w:val="0"/>
                      <w:color w:val="auto"/>
                      <w:kern w:val="0"/>
                      <w:sz w:val="21"/>
                      <w:szCs w:val="21"/>
                      <w:lang w:val="en-US" w:eastAsia="zh-CN" w:bidi="ar-SA"/>
                    </w:rPr>
                    <w:t>1.2</w:t>
                  </w:r>
                </w:p>
              </w:tc>
              <w:tc>
                <w:tcPr>
                  <w:tcW w:w="2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12"/>
                      <w:kern w:val="2"/>
                      <w:sz w:val="21"/>
                      <w:szCs w:val="21"/>
                      <w:lang w:val="en-US" w:eastAsia="zh-CN" w:bidi="ar-SA"/>
                    </w:rPr>
                  </w:pPr>
                  <w:r>
                    <w:rPr>
                      <w:rFonts w:hint="eastAsia" w:cs="Times New Roman"/>
                      <w:color w:val="auto"/>
                      <w:spacing w:val="12"/>
                      <w:kern w:val="2"/>
                      <w:sz w:val="21"/>
                      <w:szCs w:val="21"/>
                      <w:lang w:val="en-US" w:eastAsia="zh-CN" w:bidi="ar-SA"/>
                    </w:rPr>
                    <w:t>液态、桶装，200kg/桶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900" w:type="dxa"/>
                  <w:vMerge w:val="continue"/>
                  <w:noWrap w:val="0"/>
                  <w:vAlign w:val="center"/>
                </w:tcPr>
                <w:p>
                  <w:pPr>
                    <w:keepNext w:val="0"/>
                    <w:keepLines w:val="0"/>
                    <w:widowControl/>
                    <w:suppressLineNumbers w:val="0"/>
                    <w:jc w:val="center"/>
                    <w:textAlignment w:val="center"/>
                    <w:rPr>
                      <w:rFonts w:hint="eastAsia" w:cs="Times New Roman"/>
                      <w:color w:val="auto"/>
                      <w:kern w:val="2"/>
                      <w:sz w:val="21"/>
                      <w:szCs w:val="21"/>
                      <w:lang w:val="en-US" w:eastAsia="zh-CN" w:bidi="ar-SA"/>
                    </w:rPr>
                  </w:pPr>
                </w:p>
              </w:tc>
              <w:tc>
                <w:tcPr>
                  <w:tcW w:w="2115"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钢丸</w:t>
                  </w:r>
                </w:p>
              </w:tc>
              <w:tc>
                <w:tcPr>
                  <w:tcW w:w="720" w:type="dxa"/>
                  <w:noWrap w:val="0"/>
                  <w:vAlign w:val="center"/>
                </w:tcPr>
                <w:p>
                  <w:pPr>
                    <w:bidi w:val="0"/>
                    <w:jc w:val="center"/>
                    <w:rPr>
                      <w:rFonts w:hint="default" w:ascii="Times New Roman" w:hAnsi="Times New Roman" w:eastAsia="宋体" w:cs="Times New Roman"/>
                      <w:b w:val="0"/>
                      <w:color w:val="auto"/>
                      <w:kern w:val="0"/>
                      <w:sz w:val="21"/>
                      <w:szCs w:val="21"/>
                      <w:lang w:val="en-US" w:eastAsia="zh-CN" w:bidi="ar-SA"/>
                    </w:rPr>
                  </w:pPr>
                  <w:r>
                    <w:rPr>
                      <w:rFonts w:hint="eastAsia"/>
                      <w:b w:val="0"/>
                      <w:color w:val="auto"/>
                      <w:kern w:val="0"/>
                      <w:sz w:val="21"/>
                      <w:szCs w:val="21"/>
                      <w:lang w:val="en-US" w:eastAsia="zh-CN" w:bidi="ar-SA"/>
                    </w:rPr>
                    <w:t>t/a</w:t>
                  </w:r>
                </w:p>
              </w:tc>
              <w:tc>
                <w:tcPr>
                  <w:tcW w:w="690" w:type="dxa"/>
                  <w:noWrap w:val="0"/>
                  <w:vAlign w:val="center"/>
                </w:tcPr>
                <w:p>
                  <w:pPr>
                    <w:pStyle w:val="68"/>
                    <w:bidi w:val="0"/>
                    <w:rPr>
                      <w:rFonts w:hint="default" w:ascii="Times New Roman" w:hAnsi="Times New Roman" w:eastAsia="宋体" w:cs="Times New Roman"/>
                      <w:b w:val="0"/>
                      <w:color w:val="auto"/>
                      <w:kern w:val="0"/>
                      <w:sz w:val="21"/>
                      <w:szCs w:val="21"/>
                      <w:lang w:val="en-US" w:eastAsia="zh-CN" w:bidi="ar-SA"/>
                    </w:rPr>
                  </w:pPr>
                  <w:r>
                    <w:rPr>
                      <w:rFonts w:hint="eastAsia"/>
                      <w:b w:val="0"/>
                      <w:color w:val="auto"/>
                      <w:kern w:val="0"/>
                      <w:sz w:val="21"/>
                      <w:szCs w:val="21"/>
                      <w:lang w:val="en-US" w:eastAsia="zh-CN" w:bidi="ar-SA"/>
                    </w:rPr>
                    <w:t>5</w:t>
                  </w:r>
                </w:p>
              </w:tc>
              <w:tc>
                <w:tcPr>
                  <w:tcW w:w="2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12"/>
                      <w:kern w:val="2"/>
                      <w:sz w:val="21"/>
                      <w:szCs w:val="21"/>
                      <w:lang w:val="en-US" w:eastAsia="zh-CN" w:bidi="ar-SA"/>
                    </w:rPr>
                  </w:pPr>
                  <w:r>
                    <w:rPr>
                      <w:rFonts w:hint="eastAsia" w:cs="Times New Roman"/>
                      <w:color w:val="auto"/>
                      <w:spacing w:val="12"/>
                      <w:kern w:val="2"/>
                      <w:sz w:val="21"/>
                      <w:szCs w:val="21"/>
                      <w:lang w:val="en-US" w:eastAsia="zh-CN" w:bidi="ar-SA"/>
                    </w:rPr>
                    <w:t>抛丸机用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noWrap w:val="0"/>
                  <w:vAlign w:val="center"/>
                </w:tcPr>
                <w:p>
                  <w:pPr>
                    <w:keepNext w:val="0"/>
                    <w:keepLines w:val="0"/>
                    <w:widowControl/>
                    <w:suppressLineNumbers w:val="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900" w:type="dxa"/>
                  <w:vMerge w:val="continue"/>
                  <w:noWrap w:val="0"/>
                  <w:vAlign w:val="center"/>
                </w:tcPr>
                <w:p>
                  <w:pPr>
                    <w:keepNext w:val="0"/>
                    <w:keepLines w:val="0"/>
                    <w:widowControl/>
                    <w:suppressLineNumbers w:val="0"/>
                    <w:jc w:val="center"/>
                    <w:textAlignment w:val="center"/>
                    <w:rPr>
                      <w:rFonts w:hint="eastAsia" w:cs="Times New Roman"/>
                      <w:color w:val="auto"/>
                      <w:kern w:val="2"/>
                      <w:sz w:val="21"/>
                      <w:szCs w:val="21"/>
                      <w:lang w:val="en-US" w:eastAsia="zh-CN" w:bidi="ar-SA"/>
                    </w:rPr>
                  </w:pPr>
                </w:p>
              </w:tc>
              <w:tc>
                <w:tcPr>
                  <w:tcW w:w="2115" w:type="dxa"/>
                  <w:gridSpan w:val="2"/>
                  <w:noWrap w:val="0"/>
                  <w:vAlign w:val="center"/>
                </w:tcPr>
                <w:p>
                  <w:pPr>
                    <w:keepNext w:val="0"/>
                    <w:keepLines w:val="0"/>
                    <w:widowControl/>
                    <w:suppressLineNumbers w:val="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磷酸</w:t>
                  </w:r>
                </w:p>
              </w:tc>
              <w:tc>
                <w:tcPr>
                  <w:tcW w:w="720" w:type="dxa"/>
                  <w:noWrap w:val="0"/>
                  <w:vAlign w:val="center"/>
                </w:tcPr>
                <w:p>
                  <w:pPr>
                    <w:bidi w:val="0"/>
                    <w:jc w:val="center"/>
                    <w:rPr>
                      <w:rFonts w:hint="eastAsia"/>
                      <w:b w:val="0"/>
                      <w:color w:val="auto"/>
                      <w:kern w:val="0"/>
                      <w:sz w:val="21"/>
                      <w:szCs w:val="21"/>
                      <w:lang w:val="en-US" w:eastAsia="zh-CN" w:bidi="ar-SA"/>
                    </w:rPr>
                  </w:pPr>
                  <w:r>
                    <w:rPr>
                      <w:rFonts w:hint="eastAsia"/>
                      <w:b w:val="0"/>
                      <w:color w:val="auto"/>
                      <w:kern w:val="0"/>
                      <w:sz w:val="21"/>
                      <w:szCs w:val="21"/>
                      <w:lang w:val="en-US" w:eastAsia="zh-CN" w:bidi="ar-SA"/>
                    </w:rPr>
                    <w:t>t/a</w:t>
                  </w:r>
                </w:p>
              </w:tc>
              <w:tc>
                <w:tcPr>
                  <w:tcW w:w="690" w:type="dxa"/>
                  <w:noWrap w:val="0"/>
                  <w:vAlign w:val="center"/>
                </w:tcPr>
                <w:p>
                  <w:pPr>
                    <w:pStyle w:val="68"/>
                    <w:bidi w:val="0"/>
                    <w:jc w:val="center"/>
                    <w:rPr>
                      <w:rFonts w:hint="default"/>
                      <w:b w:val="0"/>
                      <w:color w:val="auto"/>
                      <w:kern w:val="0"/>
                      <w:sz w:val="21"/>
                      <w:szCs w:val="21"/>
                      <w:lang w:val="en-US" w:eastAsia="zh-CN" w:bidi="ar-SA"/>
                    </w:rPr>
                  </w:pPr>
                  <w:r>
                    <w:rPr>
                      <w:rFonts w:hint="eastAsia"/>
                      <w:b w:val="0"/>
                      <w:color w:val="auto"/>
                      <w:kern w:val="0"/>
                      <w:sz w:val="21"/>
                      <w:szCs w:val="21"/>
                      <w:lang w:val="en-US" w:eastAsia="zh-CN" w:bidi="ar-SA"/>
                    </w:rPr>
                    <w:t>0.8</w:t>
                  </w:r>
                </w:p>
              </w:tc>
              <w:tc>
                <w:tcPr>
                  <w:tcW w:w="2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cs="Times New Roman"/>
                      <w:color w:val="auto"/>
                      <w:spacing w:val="12"/>
                      <w:kern w:val="2"/>
                      <w:sz w:val="21"/>
                      <w:szCs w:val="21"/>
                      <w:lang w:val="en-US" w:eastAsia="zh-CN" w:bidi="ar-SA"/>
                    </w:rPr>
                  </w:pPr>
                  <w:r>
                    <w:rPr>
                      <w:rFonts w:hint="eastAsia" w:cs="Times New Roman"/>
                      <w:color w:val="auto"/>
                      <w:spacing w:val="12"/>
                      <w:kern w:val="2"/>
                      <w:sz w:val="21"/>
                      <w:szCs w:val="21"/>
                      <w:lang w:val="en-US" w:eastAsia="zh-CN" w:bidi="ar-SA"/>
                    </w:rPr>
                    <w:t>三乙胺废气治理</w:t>
                  </w:r>
                </w:p>
              </w:tc>
            </w:tr>
          </w:tbl>
          <w:p>
            <w:pPr>
              <w:pStyle w:val="82"/>
              <w:keepNext w:val="0"/>
              <w:keepLines w:val="0"/>
              <w:pageBreakBefore w:val="0"/>
              <w:widowControl w:val="0"/>
              <w:kinsoku/>
              <w:wordWrap/>
              <w:overflowPunct/>
              <w:topLinePunct w:val="0"/>
              <w:autoSpaceDE/>
              <w:autoSpaceDN/>
              <w:bidi w:val="0"/>
              <w:adjustRightInd/>
              <w:snapToGrid/>
              <w:spacing w:before="60"/>
              <w:ind w:left="62"/>
              <w:textAlignment w:val="auto"/>
              <w:rPr>
                <w:rFonts w:hint="eastAsia"/>
                <w:b/>
                <w:bCs/>
                <w:color w:val="auto"/>
                <w:lang w:val="en-US" w:eastAsia="zh-CN"/>
              </w:rPr>
            </w:pPr>
            <w:r>
              <w:rPr>
                <w:rFonts w:hint="eastAsia"/>
                <w:b/>
                <w:bCs/>
                <w:color w:val="auto"/>
                <w:lang w:val="en-US" w:eastAsia="zh-CN"/>
              </w:rPr>
              <w:t>（1）三乙胺</w:t>
            </w:r>
          </w:p>
          <w:p>
            <w:pPr>
              <w:pStyle w:val="82"/>
              <w:keepNext w:val="0"/>
              <w:keepLines w:val="0"/>
              <w:pageBreakBefore w:val="0"/>
              <w:widowControl w:val="0"/>
              <w:kinsoku/>
              <w:wordWrap/>
              <w:overflowPunct/>
              <w:topLinePunct w:val="0"/>
              <w:autoSpaceDE/>
              <w:autoSpaceDN/>
              <w:bidi w:val="0"/>
              <w:adjustRightInd/>
              <w:snapToGrid/>
              <w:spacing w:before="60"/>
              <w:textAlignment w:val="auto"/>
              <w:rPr>
                <w:rFonts w:hint="eastAsia"/>
                <w:b w:val="0"/>
                <w:bCs w:val="0"/>
                <w:color w:val="auto"/>
                <w:lang w:val="en-US" w:eastAsia="zh-CN"/>
              </w:rPr>
            </w:pPr>
            <w:r>
              <w:rPr>
                <w:rFonts w:hint="eastAsia"/>
                <w:b w:val="0"/>
                <w:bCs w:val="0"/>
                <w:color w:val="auto"/>
                <w:lang w:val="en-US" w:eastAsia="zh-CN"/>
              </w:rPr>
              <w:t>三乙胺又名三乙基胺，分子式为C</w:t>
            </w:r>
            <w:r>
              <w:rPr>
                <w:rFonts w:hint="eastAsia"/>
                <w:b w:val="0"/>
                <w:bCs w:val="0"/>
                <w:color w:val="auto"/>
                <w:vertAlign w:val="subscript"/>
                <w:lang w:val="en-US" w:eastAsia="zh-CN"/>
              </w:rPr>
              <w:t>6</w:t>
            </w:r>
            <w:r>
              <w:rPr>
                <w:rFonts w:hint="eastAsia"/>
                <w:b w:val="0"/>
                <w:bCs w:val="0"/>
                <w:color w:val="auto"/>
                <w:lang w:val="en-US" w:eastAsia="zh-CN"/>
              </w:rPr>
              <w:t>H</w:t>
            </w:r>
            <w:r>
              <w:rPr>
                <w:rFonts w:hint="eastAsia"/>
                <w:b w:val="0"/>
                <w:bCs w:val="0"/>
                <w:color w:val="auto"/>
                <w:vertAlign w:val="subscript"/>
                <w:lang w:val="en-US" w:eastAsia="zh-CN"/>
              </w:rPr>
              <w:t>15</w:t>
            </w:r>
            <w:r>
              <w:rPr>
                <w:rFonts w:hint="eastAsia"/>
                <w:b w:val="0"/>
                <w:bCs w:val="0"/>
                <w:color w:val="auto"/>
                <w:lang w:val="en-US" w:eastAsia="zh-CN"/>
              </w:rPr>
              <w:t>N，是一种有机化合物，为无色油装液体，有强烈的氨臭味，有刺激性、易燃、易挥发。</w:t>
            </w:r>
          </w:p>
          <w:p>
            <w:pPr>
              <w:pStyle w:val="82"/>
              <w:keepNext w:val="0"/>
              <w:keepLines w:val="0"/>
              <w:pageBreakBefore w:val="0"/>
              <w:widowControl w:val="0"/>
              <w:kinsoku/>
              <w:wordWrap/>
              <w:overflowPunct/>
              <w:topLinePunct w:val="0"/>
              <w:autoSpaceDE/>
              <w:autoSpaceDN/>
              <w:bidi w:val="0"/>
              <w:adjustRightInd/>
              <w:snapToGrid/>
              <w:spacing w:before="60"/>
              <w:ind w:left="62"/>
              <w:textAlignment w:val="auto"/>
              <w:rPr>
                <w:rFonts w:hint="eastAsia"/>
                <w:b w:val="0"/>
                <w:bCs w:val="0"/>
                <w:color w:val="auto"/>
                <w:lang w:val="en-US" w:eastAsia="zh-CN"/>
              </w:rPr>
            </w:pPr>
            <w:r>
              <w:rPr>
                <w:rFonts w:hint="eastAsia"/>
                <w:b w:val="0"/>
                <w:bCs w:val="0"/>
                <w:color w:val="auto"/>
                <w:lang w:val="en-US" w:eastAsia="zh-CN"/>
              </w:rPr>
              <w:t>熔点(℃)：-114.8                  相对密度(水=1)：0.70</w:t>
            </w:r>
          </w:p>
          <w:p>
            <w:pPr>
              <w:pStyle w:val="82"/>
              <w:keepNext w:val="0"/>
              <w:keepLines w:val="0"/>
              <w:pageBreakBefore w:val="0"/>
              <w:widowControl w:val="0"/>
              <w:kinsoku/>
              <w:wordWrap/>
              <w:overflowPunct/>
              <w:topLinePunct w:val="0"/>
              <w:autoSpaceDE/>
              <w:autoSpaceDN/>
              <w:bidi w:val="0"/>
              <w:adjustRightInd/>
              <w:snapToGrid/>
              <w:spacing w:before="60"/>
              <w:ind w:left="62"/>
              <w:textAlignment w:val="auto"/>
              <w:rPr>
                <w:rFonts w:hint="eastAsia"/>
                <w:b w:val="0"/>
                <w:bCs w:val="0"/>
                <w:color w:val="auto"/>
                <w:lang w:val="en-US" w:eastAsia="zh-CN"/>
              </w:rPr>
            </w:pPr>
            <w:r>
              <w:rPr>
                <w:rFonts w:hint="eastAsia"/>
                <w:b w:val="0"/>
                <w:bCs w:val="0"/>
                <w:color w:val="auto"/>
                <w:lang w:val="en-US" w:eastAsia="zh-CN"/>
              </w:rPr>
              <w:t>沸点(℃)：89.5                    相对蒸气密度(空气=1)：3.48</w:t>
            </w:r>
          </w:p>
          <w:p>
            <w:pPr>
              <w:pStyle w:val="82"/>
              <w:keepNext w:val="0"/>
              <w:keepLines w:val="0"/>
              <w:pageBreakBefore w:val="0"/>
              <w:widowControl w:val="0"/>
              <w:kinsoku/>
              <w:wordWrap/>
              <w:overflowPunct/>
              <w:topLinePunct w:val="0"/>
              <w:autoSpaceDE/>
              <w:autoSpaceDN/>
              <w:bidi w:val="0"/>
              <w:adjustRightInd/>
              <w:snapToGrid/>
              <w:spacing w:before="60"/>
              <w:ind w:left="62"/>
              <w:textAlignment w:val="auto"/>
              <w:rPr>
                <w:rFonts w:hint="eastAsia"/>
                <w:b w:val="0"/>
                <w:bCs w:val="0"/>
                <w:color w:val="auto"/>
                <w:lang w:val="en-US" w:eastAsia="zh-CN"/>
              </w:rPr>
            </w:pPr>
            <w:r>
              <w:rPr>
                <w:rFonts w:hint="eastAsia"/>
                <w:b w:val="0"/>
                <w:bCs w:val="0"/>
                <w:color w:val="auto"/>
                <w:lang w:val="en-US" w:eastAsia="zh-CN"/>
              </w:rPr>
              <w:t>饱和蒸气压(KPa)：8.80(20℃)       燃烧热(KJ/mol)：4333.8</w:t>
            </w:r>
          </w:p>
          <w:p>
            <w:pPr>
              <w:pStyle w:val="82"/>
              <w:keepNext w:val="0"/>
              <w:keepLines w:val="0"/>
              <w:pageBreakBefore w:val="0"/>
              <w:widowControl w:val="0"/>
              <w:kinsoku/>
              <w:wordWrap/>
              <w:overflowPunct/>
              <w:topLinePunct w:val="0"/>
              <w:autoSpaceDE/>
              <w:autoSpaceDN/>
              <w:bidi w:val="0"/>
              <w:adjustRightInd/>
              <w:snapToGrid/>
              <w:spacing w:before="60"/>
              <w:ind w:left="62"/>
              <w:textAlignment w:val="auto"/>
              <w:rPr>
                <w:rFonts w:hint="eastAsia"/>
                <w:b w:val="0"/>
                <w:bCs w:val="0"/>
                <w:color w:val="auto"/>
                <w:lang w:val="en-US" w:eastAsia="zh-CN"/>
              </w:rPr>
            </w:pPr>
            <w:r>
              <w:rPr>
                <w:rFonts w:hint="eastAsia"/>
                <w:b w:val="0"/>
                <w:bCs w:val="0"/>
                <w:color w:val="auto"/>
                <w:lang w:val="en-US" w:eastAsia="zh-CN"/>
              </w:rPr>
              <w:t>临界温度(℃)：259                 临界压力(MPa)：3.04</w:t>
            </w:r>
          </w:p>
          <w:p>
            <w:pPr>
              <w:pStyle w:val="82"/>
              <w:keepNext w:val="0"/>
              <w:keepLines w:val="0"/>
              <w:pageBreakBefore w:val="0"/>
              <w:widowControl w:val="0"/>
              <w:kinsoku/>
              <w:wordWrap/>
              <w:overflowPunct/>
              <w:topLinePunct w:val="0"/>
              <w:autoSpaceDE/>
              <w:autoSpaceDN/>
              <w:bidi w:val="0"/>
              <w:adjustRightInd/>
              <w:snapToGrid/>
              <w:spacing w:before="60"/>
              <w:ind w:left="62"/>
              <w:textAlignment w:val="auto"/>
              <w:rPr>
                <w:rFonts w:hint="eastAsia"/>
                <w:b w:val="0"/>
                <w:bCs w:val="0"/>
                <w:color w:val="auto"/>
                <w:lang w:val="en-US" w:eastAsia="zh-CN"/>
              </w:rPr>
            </w:pPr>
            <w:r>
              <w:rPr>
                <w:rFonts w:hint="eastAsia"/>
                <w:b w:val="0"/>
                <w:bCs w:val="0"/>
                <w:color w:val="auto"/>
                <w:lang w:val="en-US" w:eastAsia="zh-CN"/>
              </w:rPr>
              <w:t>闪点(℃)：-6.7                     爆炸下限% (V/V)：1.2</w:t>
            </w:r>
          </w:p>
          <w:p>
            <w:pPr>
              <w:pStyle w:val="82"/>
              <w:keepNext w:val="0"/>
              <w:keepLines w:val="0"/>
              <w:pageBreakBefore w:val="0"/>
              <w:widowControl w:val="0"/>
              <w:kinsoku/>
              <w:wordWrap/>
              <w:overflowPunct/>
              <w:topLinePunct w:val="0"/>
              <w:autoSpaceDE/>
              <w:autoSpaceDN/>
              <w:bidi w:val="0"/>
              <w:adjustRightInd/>
              <w:snapToGrid/>
              <w:spacing w:before="60"/>
              <w:ind w:left="62"/>
              <w:textAlignment w:val="auto"/>
              <w:rPr>
                <w:rFonts w:hint="eastAsia"/>
                <w:b w:val="0"/>
                <w:bCs w:val="0"/>
                <w:color w:val="auto"/>
                <w:lang w:val="en-US" w:eastAsia="zh-CN"/>
              </w:rPr>
            </w:pPr>
            <w:r>
              <w:rPr>
                <w:rFonts w:hint="eastAsia"/>
                <w:b w:val="0"/>
                <w:bCs w:val="0"/>
                <w:color w:val="auto"/>
                <w:lang w:val="en-US" w:eastAsia="zh-CN"/>
              </w:rPr>
              <w:t>自燃温度(℃)：249                 爆炸上限%(V/V)：8.0</w:t>
            </w:r>
          </w:p>
          <w:p>
            <w:pPr>
              <w:pStyle w:val="82"/>
              <w:keepNext w:val="0"/>
              <w:keepLines w:val="0"/>
              <w:pageBreakBefore w:val="0"/>
              <w:widowControl w:val="0"/>
              <w:kinsoku/>
              <w:wordWrap/>
              <w:overflowPunct/>
              <w:topLinePunct w:val="0"/>
              <w:autoSpaceDE/>
              <w:autoSpaceDN/>
              <w:bidi w:val="0"/>
              <w:adjustRightInd/>
              <w:snapToGrid/>
              <w:spacing w:before="60"/>
              <w:ind w:left="62"/>
              <w:textAlignment w:val="auto"/>
              <w:rPr>
                <w:rFonts w:hint="default"/>
                <w:b w:val="0"/>
                <w:bCs w:val="0"/>
                <w:color w:val="auto"/>
                <w:lang w:val="en-US" w:eastAsia="zh-CN"/>
              </w:rPr>
            </w:pPr>
            <w:r>
              <w:rPr>
                <w:rFonts w:hint="eastAsia"/>
              </w:rPr>
              <w:t>溶解性：溶于水、乙醇、乙醚等多种有机溶剂。</w:t>
            </w:r>
          </w:p>
          <w:p>
            <w:pPr>
              <w:pStyle w:val="82"/>
              <w:keepNext w:val="0"/>
              <w:keepLines w:val="0"/>
              <w:pageBreakBefore w:val="0"/>
              <w:widowControl w:val="0"/>
              <w:numPr>
                <w:ilvl w:val="0"/>
                <w:numId w:val="2"/>
              </w:numPr>
              <w:kinsoku/>
              <w:wordWrap/>
              <w:overflowPunct/>
              <w:topLinePunct w:val="0"/>
              <w:autoSpaceDE/>
              <w:autoSpaceDN/>
              <w:bidi w:val="0"/>
              <w:adjustRightInd/>
              <w:snapToGrid/>
              <w:spacing w:before="60"/>
              <w:ind w:left="62"/>
              <w:textAlignment w:val="auto"/>
              <w:rPr>
                <w:rFonts w:hint="eastAsia"/>
                <w:b/>
                <w:bCs/>
                <w:color w:val="auto"/>
                <w:lang w:val="en-US" w:eastAsia="zh-CN"/>
              </w:rPr>
            </w:pPr>
            <w:r>
              <w:rPr>
                <w:rFonts w:hint="eastAsia"/>
                <w:b/>
                <w:bCs/>
                <w:color w:val="auto"/>
                <w:lang w:val="en-US" w:eastAsia="zh-CN"/>
              </w:rPr>
              <w:t>树脂</w:t>
            </w:r>
          </w:p>
          <w:p>
            <w:pPr>
              <w:pStyle w:val="82"/>
              <w:keepNext w:val="0"/>
              <w:keepLines w:val="0"/>
              <w:pageBreakBefore w:val="0"/>
              <w:widowControl w:val="0"/>
              <w:numPr>
                <w:ilvl w:val="0"/>
                <w:numId w:val="0"/>
              </w:numPr>
              <w:kinsoku/>
              <w:wordWrap/>
              <w:overflowPunct/>
              <w:topLinePunct w:val="0"/>
              <w:autoSpaceDE/>
              <w:autoSpaceDN/>
              <w:bidi w:val="0"/>
              <w:adjustRightInd/>
              <w:snapToGrid/>
              <w:ind w:leftChars="0" w:firstLine="512" w:firstLineChars="200"/>
              <w:textAlignment w:val="auto"/>
              <w:rPr>
                <w:rFonts w:hint="eastAsia"/>
                <w:sz w:val="24"/>
                <w:szCs w:val="24"/>
              </w:rPr>
            </w:pPr>
            <w:r>
              <w:rPr>
                <w:rFonts w:hint="eastAsia" w:ascii="宋体" w:hAnsi="宋体" w:cs="宋体"/>
                <w:spacing w:val="8"/>
                <w:sz w:val="24"/>
                <w:szCs w:val="24"/>
                <w:lang w:val="en-US" w:eastAsia="zh-CN"/>
              </w:rPr>
              <w:t>组份</w:t>
            </w:r>
            <w:r>
              <w:rPr>
                <w:rFonts w:hint="eastAsia" w:ascii="Times New Roman" w:hAnsi="Times New Roman" w:eastAsia="宋体" w:cs="Times New Roman"/>
                <w:color w:val="auto"/>
                <w:kern w:val="2"/>
                <w:sz w:val="24"/>
                <w:szCs w:val="24"/>
                <w:lang w:val="en-US" w:eastAsia="zh-CN" w:bidi="ar-SA"/>
              </w:rPr>
              <w:t>I</w:t>
            </w:r>
            <w:r>
              <w:rPr>
                <w:rFonts w:hint="eastAsia" w:ascii="宋体" w:hAnsi="宋体" w:cs="宋体"/>
                <w:spacing w:val="8"/>
                <w:sz w:val="24"/>
                <w:szCs w:val="24"/>
                <w:lang w:val="en-US" w:eastAsia="zh-CN"/>
              </w:rPr>
              <w:t>为冷芯盒树脂，其主要成分为酚醛树脂，淡黄色液体。</w:t>
            </w:r>
            <w:r>
              <w:rPr>
                <w:rFonts w:ascii="宋体" w:hAnsi="宋体" w:eastAsia="宋体" w:cs="宋体"/>
                <w:spacing w:val="7"/>
                <w:sz w:val="24"/>
                <w:szCs w:val="24"/>
              </w:rPr>
              <w:t>密度</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1.15~1.25g/cm</w:t>
            </w:r>
            <w:r>
              <w:rPr>
                <w:rFonts w:ascii="Times New Roman" w:hAnsi="Times New Roman" w:eastAsia="Times New Roman" w:cs="Times New Roman"/>
                <w:spacing w:val="-2"/>
                <w:position w:val="6"/>
                <w:sz w:val="24"/>
                <w:szCs w:val="24"/>
                <w:vertAlign w:val="superscript"/>
              </w:rPr>
              <w:t>3</w:t>
            </w:r>
            <w:r>
              <w:rPr>
                <w:rFonts w:hint="eastAsia"/>
                <w:sz w:val="24"/>
                <w:szCs w:val="24"/>
              </w:rPr>
              <w:t>。</w:t>
            </w:r>
          </w:p>
          <w:p>
            <w:pPr>
              <w:pStyle w:val="82"/>
              <w:keepNext w:val="0"/>
              <w:keepLines w:val="0"/>
              <w:pageBreakBefore w:val="0"/>
              <w:widowControl w:val="0"/>
              <w:numPr>
                <w:ilvl w:val="0"/>
                <w:numId w:val="0"/>
              </w:numPr>
              <w:kinsoku/>
              <w:wordWrap/>
              <w:overflowPunct/>
              <w:topLinePunct w:val="0"/>
              <w:autoSpaceDE/>
              <w:autoSpaceDN/>
              <w:bidi w:val="0"/>
              <w:adjustRightInd/>
              <w:snapToGrid/>
              <w:spacing w:before="60"/>
              <w:ind w:leftChars="200"/>
              <w:textAlignment w:val="auto"/>
              <w:rPr>
                <w:rFonts w:hint="default" w:ascii="宋体" w:hAnsi="宋体" w:eastAsia="宋体" w:cs="宋体"/>
                <w:b/>
                <w:bCs/>
                <w:spacing w:val="-9"/>
                <w:sz w:val="24"/>
                <w:szCs w:val="24"/>
                <w:lang w:val="en-US" w:eastAsia="zh-CN"/>
              </w:rPr>
            </w:pPr>
            <w:r>
              <w:rPr>
                <w:rFonts w:hint="eastAsia" w:ascii="宋体" w:hAnsi="宋体" w:cs="宋体"/>
                <w:b/>
                <w:bCs/>
                <w:spacing w:val="-9"/>
                <w:sz w:val="24"/>
                <w:szCs w:val="24"/>
                <w:lang w:val="en-US" w:eastAsia="zh-CN"/>
              </w:rPr>
              <w:t>（3）固化剂</w:t>
            </w:r>
          </w:p>
          <w:p>
            <w:pPr>
              <w:pStyle w:val="82"/>
              <w:keepNext w:val="0"/>
              <w:keepLines w:val="0"/>
              <w:pageBreakBefore w:val="0"/>
              <w:widowControl w:val="0"/>
              <w:numPr>
                <w:ilvl w:val="0"/>
                <w:numId w:val="0"/>
              </w:numPr>
              <w:kinsoku/>
              <w:wordWrap/>
              <w:overflowPunct/>
              <w:topLinePunct w:val="0"/>
              <w:autoSpaceDE/>
              <w:autoSpaceDN/>
              <w:bidi w:val="0"/>
              <w:adjustRightInd/>
              <w:snapToGrid/>
              <w:ind w:leftChars="0" w:firstLine="512" w:firstLineChars="200"/>
              <w:textAlignment w:val="auto"/>
              <w:rPr>
                <w:rFonts w:ascii="宋体" w:hAnsi="宋体" w:eastAsia="宋体" w:cs="宋体"/>
                <w:spacing w:val="8"/>
                <w:sz w:val="24"/>
                <w:szCs w:val="24"/>
              </w:rPr>
            </w:pPr>
            <w:r>
              <w:rPr>
                <w:rFonts w:hint="eastAsia" w:ascii="宋体" w:hAnsi="宋体" w:cs="宋体"/>
                <w:spacing w:val="8"/>
                <w:sz w:val="24"/>
                <w:szCs w:val="24"/>
                <w:lang w:val="en-US" w:eastAsia="zh-CN"/>
              </w:rPr>
              <w:t>组份</w:t>
            </w:r>
            <w:r>
              <w:rPr>
                <w:rFonts w:hint="eastAsia" w:ascii="Times New Roman" w:hAnsi="Times New Roman" w:eastAsia="宋体" w:cs="Times New Roman"/>
                <w:color w:val="auto"/>
                <w:kern w:val="2"/>
                <w:sz w:val="24"/>
                <w:szCs w:val="24"/>
                <w:lang w:val="en-US" w:eastAsia="zh-CN" w:bidi="ar-SA"/>
              </w:rPr>
              <w:t>II</w:t>
            </w:r>
            <w:r>
              <w:rPr>
                <w:rFonts w:hint="eastAsia" w:ascii="宋体" w:hAnsi="宋体" w:cs="宋体"/>
                <w:spacing w:val="8"/>
                <w:sz w:val="24"/>
                <w:szCs w:val="24"/>
                <w:lang w:val="en-US" w:eastAsia="zh-CN"/>
              </w:rPr>
              <w:t>为活化剂，其主要成分为聚异氰酸酯，深综色液体。</w:t>
            </w:r>
          </w:p>
          <w:p>
            <w:pPr>
              <w:pStyle w:val="82"/>
              <w:keepNext w:val="0"/>
              <w:keepLines w:val="0"/>
              <w:pageBreakBefore w:val="0"/>
              <w:widowControl w:val="0"/>
              <w:numPr>
                <w:ilvl w:val="0"/>
                <w:numId w:val="0"/>
              </w:numPr>
              <w:kinsoku/>
              <w:wordWrap/>
              <w:overflowPunct/>
              <w:topLinePunct w:val="0"/>
              <w:autoSpaceDE/>
              <w:autoSpaceDN/>
              <w:bidi w:val="0"/>
              <w:adjustRightInd/>
              <w:snapToGrid/>
              <w:spacing w:before="60"/>
              <w:ind w:leftChars="200"/>
              <w:textAlignment w:val="auto"/>
              <w:rPr>
                <w:rFonts w:hint="eastAsia" w:ascii="宋体" w:hAnsi="宋体" w:cs="宋体"/>
                <w:b/>
                <w:bCs/>
                <w:spacing w:val="-2"/>
                <w:sz w:val="24"/>
                <w:szCs w:val="24"/>
                <w:lang w:val="en-US" w:eastAsia="zh-CN"/>
              </w:rPr>
            </w:pPr>
            <w:r>
              <w:rPr>
                <w:rFonts w:hint="eastAsia" w:ascii="宋体" w:hAnsi="宋体" w:cs="宋体"/>
                <w:b/>
                <w:bCs/>
                <w:spacing w:val="-2"/>
                <w:sz w:val="24"/>
                <w:szCs w:val="24"/>
                <w:lang w:val="en-US" w:eastAsia="zh-CN"/>
              </w:rPr>
              <w:t>（4）增碳剂</w:t>
            </w:r>
          </w:p>
          <w:p>
            <w:pPr>
              <w:pStyle w:val="82"/>
              <w:keepNext w:val="0"/>
              <w:keepLines w:val="0"/>
              <w:pageBreakBefore w:val="0"/>
              <w:widowControl w:val="0"/>
              <w:kinsoku/>
              <w:wordWrap/>
              <w:overflowPunct/>
              <w:topLinePunct w:val="0"/>
              <w:autoSpaceDE/>
              <w:autoSpaceDN/>
              <w:bidi w:val="0"/>
              <w:adjustRightInd/>
              <w:snapToGrid/>
              <w:spacing w:before="60"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表2-7  增碳剂成分表  单位：%</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589"/>
              <w:gridCol w:w="1589"/>
              <w:gridCol w:w="1589"/>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tcPr>
                <w:p>
                  <w:pPr>
                    <w:pStyle w:val="82"/>
                    <w:keepNext w:val="0"/>
                    <w:keepLines w:val="0"/>
                    <w:pageBreakBefore w:val="0"/>
                    <w:widowControl w:val="0"/>
                    <w:kinsoku/>
                    <w:wordWrap/>
                    <w:overflowPunct/>
                    <w:topLinePunct w:val="0"/>
                    <w:autoSpaceDE/>
                    <w:autoSpaceDN/>
                    <w:bidi w:val="0"/>
                    <w:adjustRightInd/>
                    <w:snapToGrid/>
                    <w:spacing w:before="60" w:line="240" w:lineRule="auto"/>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水分</w:t>
                  </w:r>
                </w:p>
              </w:tc>
              <w:tc>
                <w:tcPr>
                  <w:tcW w:w="1589" w:type="dxa"/>
                </w:tcPr>
                <w:p>
                  <w:pPr>
                    <w:pStyle w:val="82"/>
                    <w:keepNext w:val="0"/>
                    <w:keepLines w:val="0"/>
                    <w:pageBreakBefore w:val="0"/>
                    <w:widowControl w:val="0"/>
                    <w:kinsoku/>
                    <w:wordWrap/>
                    <w:overflowPunct/>
                    <w:topLinePunct w:val="0"/>
                    <w:autoSpaceDE/>
                    <w:autoSpaceDN/>
                    <w:bidi w:val="0"/>
                    <w:adjustRightInd/>
                    <w:snapToGrid/>
                    <w:spacing w:before="60" w:line="240" w:lineRule="auto"/>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灰分</w:t>
                  </w:r>
                </w:p>
              </w:tc>
              <w:tc>
                <w:tcPr>
                  <w:tcW w:w="1589" w:type="dxa"/>
                </w:tcPr>
                <w:p>
                  <w:pPr>
                    <w:pStyle w:val="82"/>
                    <w:keepNext w:val="0"/>
                    <w:keepLines w:val="0"/>
                    <w:pageBreakBefore w:val="0"/>
                    <w:widowControl w:val="0"/>
                    <w:kinsoku/>
                    <w:wordWrap/>
                    <w:overflowPunct/>
                    <w:topLinePunct w:val="0"/>
                    <w:autoSpaceDE/>
                    <w:autoSpaceDN/>
                    <w:bidi w:val="0"/>
                    <w:adjustRightInd/>
                    <w:snapToGrid/>
                    <w:spacing w:before="60" w:line="240" w:lineRule="auto"/>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挥发分</w:t>
                  </w:r>
                </w:p>
              </w:tc>
              <w:tc>
                <w:tcPr>
                  <w:tcW w:w="1589" w:type="dxa"/>
                </w:tcPr>
                <w:p>
                  <w:pPr>
                    <w:pStyle w:val="82"/>
                    <w:keepNext w:val="0"/>
                    <w:keepLines w:val="0"/>
                    <w:pageBreakBefore w:val="0"/>
                    <w:widowControl w:val="0"/>
                    <w:kinsoku/>
                    <w:wordWrap/>
                    <w:overflowPunct/>
                    <w:topLinePunct w:val="0"/>
                    <w:autoSpaceDE/>
                    <w:autoSpaceDN/>
                    <w:bidi w:val="0"/>
                    <w:adjustRightInd/>
                    <w:snapToGrid/>
                    <w:spacing w:before="60" w:line="240" w:lineRule="auto"/>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硫分</w:t>
                  </w:r>
                </w:p>
              </w:tc>
              <w:tc>
                <w:tcPr>
                  <w:tcW w:w="1589" w:type="dxa"/>
                </w:tcPr>
                <w:p>
                  <w:pPr>
                    <w:pStyle w:val="82"/>
                    <w:keepNext w:val="0"/>
                    <w:keepLines w:val="0"/>
                    <w:pageBreakBefore w:val="0"/>
                    <w:widowControl w:val="0"/>
                    <w:kinsoku/>
                    <w:wordWrap/>
                    <w:overflowPunct/>
                    <w:topLinePunct w:val="0"/>
                    <w:autoSpaceDE/>
                    <w:autoSpaceDN/>
                    <w:bidi w:val="0"/>
                    <w:adjustRightInd/>
                    <w:snapToGrid/>
                    <w:spacing w:before="60" w:line="240" w:lineRule="auto"/>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固定碳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vAlign w:val="top"/>
                </w:tcPr>
                <w:p>
                  <w:pPr>
                    <w:pStyle w:val="82"/>
                    <w:keepNext w:val="0"/>
                    <w:keepLines w:val="0"/>
                    <w:pageBreakBefore w:val="0"/>
                    <w:widowControl w:val="0"/>
                    <w:kinsoku/>
                    <w:wordWrap/>
                    <w:overflowPunct/>
                    <w:topLinePunct w:val="0"/>
                    <w:autoSpaceDE/>
                    <w:autoSpaceDN/>
                    <w:bidi w:val="0"/>
                    <w:adjustRightInd/>
                    <w:snapToGrid/>
                    <w:spacing w:before="60" w:line="240" w:lineRule="auto"/>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0.21</w:t>
                  </w:r>
                </w:p>
              </w:tc>
              <w:tc>
                <w:tcPr>
                  <w:tcW w:w="1589" w:type="dxa"/>
                </w:tcPr>
                <w:p>
                  <w:pPr>
                    <w:pStyle w:val="82"/>
                    <w:keepNext w:val="0"/>
                    <w:keepLines w:val="0"/>
                    <w:pageBreakBefore w:val="0"/>
                    <w:widowControl w:val="0"/>
                    <w:kinsoku/>
                    <w:wordWrap/>
                    <w:overflowPunct/>
                    <w:topLinePunct w:val="0"/>
                    <w:autoSpaceDE/>
                    <w:autoSpaceDN/>
                    <w:bidi w:val="0"/>
                    <w:adjustRightInd/>
                    <w:snapToGrid/>
                    <w:spacing w:before="60" w:line="240" w:lineRule="auto"/>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0.83</w:t>
                  </w:r>
                </w:p>
              </w:tc>
              <w:tc>
                <w:tcPr>
                  <w:tcW w:w="1589" w:type="dxa"/>
                </w:tcPr>
                <w:p>
                  <w:pPr>
                    <w:pStyle w:val="82"/>
                    <w:keepNext w:val="0"/>
                    <w:keepLines w:val="0"/>
                    <w:pageBreakBefore w:val="0"/>
                    <w:widowControl w:val="0"/>
                    <w:kinsoku/>
                    <w:wordWrap/>
                    <w:overflowPunct/>
                    <w:topLinePunct w:val="0"/>
                    <w:autoSpaceDE/>
                    <w:autoSpaceDN/>
                    <w:bidi w:val="0"/>
                    <w:adjustRightInd/>
                    <w:snapToGrid/>
                    <w:spacing w:before="60" w:line="240" w:lineRule="auto"/>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0.59</w:t>
                  </w:r>
                </w:p>
              </w:tc>
              <w:tc>
                <w:tcPr>
                  <w:tcW w:w="1589" w:type="dxa"/>
                </w:tcPr>
                <w:p>
                  <w:pPr>
                    <w:pStyle w:val="82"/>
                    <w:keepNext w:val="0"/>
                    <w:keepLines w:val="0"/>
                    <w:pageBreakBefore w:val="0"/>
                    <w:widowControl w:val="0"/>
                    <w:kinsoku/>
                    <w:wordWrap/>
                    <w:overflowPunct/>
                    <w:topLinePunct w:val="0"/>
                    <w:autoSpaceDE/>
                    <w:autoSpaceDN/>
                    <w:bidi w:val="0"/>
                    <w:adjustRightInd/>
                    <w:snapToGrid/>
                    <w:spacing w:before="60" w:line="240" w:lineRule="auto"/>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0.27</w:t>
                  </w:r>
                </w:p>
              </w:tc>
              <w:tc>
                <w:tcPr>
                  <w:tcW w:w="1589" w:type="dxa"/>
                </w:tcPr>
                <w:p>
                  <w:pPr>
                    <w:pStyle w:val="82"/>
                    <w:keepNext w:val="0"/>
                    <w:keepLines w:val="0"/>
                    <w:pageBreakBefore w:val="0"/>
                    <w:widowControl w:val="0"/>
                    <w:kinsoku/>
                    <w:wordWrap/>
                    <w:overflowPunct/>
                    <w:topLinePunct w:val="0"/>
                    <w:autoSpaceDE/>
                    <w:autoSpaceDN/>
                    <w:bidi w:val="0"/>
                    <w:adjustRightInd/>
                    <w:snapToGrid/>
                    <w:spacing w:before="60" w:line="240" w:lineRule="auto"/>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98.38</w:t>
                  </w:r>
                </w:p>
              </w:tc>
            </w:tr>
          </w:tbl>
          <w:p>
            <w:pPr>
              <w:pStyle w:val="82"/>
              <w:keepNext w:val="0"/>
              <w:keepLines w:val="0"/>
              <w:pageBreakBefore w:val="0"/>
              <w:widowControl w:val="0"/>
              <w:kinsoku/>
              <w:wordWrap/>
              <w:overflowPunct/>
              <w:topLinePunct w:val="0"/>
              <w:autoSpaceDE/>
              <w:autoSpaceDN/>
              <w:bidi w:val="0"/>
              <w:adjustRightInd/>
              <w:snapToGrid/>
              <w:spacing w:before="60"/>
              <w:ind w:left="62"/>
              <w:textAlignment w:val="auto"/>
              <w:rPr>
                <w:rFonts w:hint="eastAsia"/>
                <w:b/>
                <w:bCs/>
                <w:color w:val="auto"/>
                <w:lang w:val="en-US" w:eastAsia="zh-CN"/>
              </w:rPr>
            </w:pPr>
            <w:r>
              <w:rPr>
                <w:rFonts w:hint="eastAsia"/>
                <w:b/>
                <w:bCs/>
                <w:color w:val="auto"/>
                <w:lang w:val="en-US" w:eastAsia="zh-CN"/>
              </w:rPr>
              <w:t>6、水平衡</w:t>
            </w:r>
          </w:p>
          <w:p>
            <w:pPr>
              <w:pStyle w:val="82"/>
              <w:bidi w:val="0"/>
              <w:rPr>
                <w:rFonts w:hint="eastAsia"/>
                <w:color w:val="auto"/>
                <w:lang w:eastAsia="zh-CN"/>
              </w:rPr>
            </w:pPr>
            <w:r>
              <w:rPr>
                <w:rFonts w:hint="eastAsia"/>
                <w:color w:val="auto"/>
                <w:lang w:val="en-US" w:eastAsia="zh-CN"/>
              </w:rPr>
              <w:t>本</w:t>
            </w:r>
            <w:r>
              <w:rPr>
                <w:rFonts w:hint="eastAsia"/>
                <w:color w:val="auto"/>
                <w:lang w:eastAsia="zh-CN"/>
              </w:rPr>
              <w:t>项目用水为</w:t>
            </w:r>
            <w:r>
              <w:rPr>
                <w:rFonts w:hint="eastAsia"/>
                <w:color w:val="auto"/>
                <w:lang w:val="en-US" w:eastAsia="zh-CN"/>
              </w:rPr>
              <w:t>冷却循环水池补充水</w:t>
            </w:r>
            <w:r>
              <w:rPr>
                <w:rFonts w:hint="eastAsia"/>
                <w:color w:val="auto"/>
                <w:lang w:eastAsia="zh-CN"/>
              </w:rPr>
              <w:t>、生活用水、</w:t>
            </w:r>
            <w:r>
              <w:rPr>
                <w:rFonts w:hint="eastAsia"/>
                <w:color w:val="auto"/>
                <w:lang w:val="en-US" w:eastAsia="zh-CN"/>
              </w:rPr>
              <w:t>三乙胺净化用水</w:t>
            </w:r>
            <w:r>
              <w:rPr>
                <w:rFonts w:hint="eastAsia"/>
                <w:color w:val="auto"/>
                <w:lang w:eastAsia="zh-CN"/>
              </w:rPr>
              <w:t>。</w:t>
            </w:r>
          </w:p>
          <w:p>
            <w:pPr>
              <w:pStyle w:val="82"/>
              <w:bidi w:val="0"/>
              <w:rPr>
                <w:rFonts w:hint="eastAsia"/>
                <w:b/>
                <w:bCs/>
                <w:color w:val="auto"/>
                <w:lang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）冷却循环用水</w:t>
            </w:r>
          </w:p>
          <w:p>
            <w:pPr>
              <w:pStyle w:val="82"/>
              <w:bidi w:val="0"/>
              <w:rPr>
                <w:rFonts w:hint="eastAsia"/>
                <w:color w:val="auto"/>
                <w:lang w:eastAsia="zh-CN"/>
              </w:rPr>
            </w:pPr>
            <w:r>
              <w:rPr>
                <w:rFonts w:hint="eastAsia"/>
                <w:color w:val="auto"/>
                <w:lang w:eastAsia="zh-CN"/>
              </w:rPr>
              <w:t xml:space="preserve">项目设 </w:t>
            </w:r>
            <w:r>
              <w:rPr>
                <w:rFonts w:hint="eastAsia"/>
                <w:color w:val="auto"/>
                <w:lang w:val="en-US" w:eastAsia="zh-CN"/>
              </w:rPr>
              <w:t>1</w:t>
            </w:r>
            <w:r>
              <w:rPr>
                <w:rFonts w:hint="eastAsia"/>
                <w:color w:val="auto"/>
                <w:lang w:eastAsia="zh-CN"/>
              </w:rPr>
              <w:t>套冷却</w:t>
            </w:r>
            <w:r>
              <w:rPr>
                <w:rFonts w:hint="eastAsia"/>
                <w:color w:val="auto"/>
                <w:lang w:val="en-US" w:eastAsia="zh-CN"/>
              </w:rPr>
              <w:t>循环水</w:t>
            </w:r>
            <w:r>
              <w:rPr>
                <w:rFonts w:hint="eastAsia"/>
                <w:color w:val="auto"/>
                <w:lang w:eastAsia="zh-CN"/>
              </w:rPr>
              <w:t>系统</w:t>
            </w:r>
            <w:r>
              <w:rPr>
                <w:rFonts w:hint="eastAsia"/>
                <w:color w:val="auto"/>
                <w:lang w:val="en-US" w:eastAsia="zh-CN"/>
              </w:rPr>
              <w:t>对</w:t>
            </w:r>
            <w:r>
              <w:rPr>
                <w:rFonts w:hint="eastAsia"/>
                <w:color w:val="auto"/>
                <w:lang w:eastAsia="zh-CN"/>
              </w:rPr>
              <w:t>中频炉进行冷却，</w:t>
            </w:r>
            <w:r>
              <w:rPr>
                <w:rFonts w:hint="eastAsia"/>
                <w:color w:val="auto"/>
                <w:lang w:val="en-US" w:eastAsia="zh-CN"/>
              </w:rPr>
              <w:t>循环水池</w:t>
            </w:r>
            <w:r>
              <w:rPr>
                <w:rFonts w:hint="eastAsia"/>
                <w:color w:val="auto"/>
                <w:lang w:eastAsia="zh-CN"/>
              </w:rPr>
              <w:t>容积为128m</w:t>
            </w:r>
            <w:r>
              <w:rPr>
                <w:rFonts w:hint="eastAsia"/>
                <w:color w:val="auto"/>
                <w:vertAlign w:val="superscript"/>
                <w:lang w:eastAsia="zh-CN"/>
              </w:rPr>
              <w:t>3</w:t>
            </w:r>
            <w:r>
              <w:rPr>
                <w:rFonts w:hint="eastAsia"/>
                <w:color w:val="auto"/>
                <w:lang w:eastAsia="zh-CN"/>
              </w:rPr>
              <w:t>，循环水量为20m</w:t>
            </w:r>
            <w:r>
              <w:rPr>
                <w:rFonts w:hint="eastAsia"/>
                <w:color w:val="auto"/>
                <w:vertAlign w:val="superscript"/>
                <w:lang w:eastAsia="zh-CN"/>
              </w:rPr>
              <w:t>3</w:t>
            </w:r>
            <w:r>
              <w:rPr>
                <w:rFonts w:hint="eastAsia"/>
                <w:color w:val="auto"/>
                <w:lang w:eastAsia="zh-CN"/>
              </w:rPr>
              <w:t>/h。因蒸发消耗需定期补充水分，</w:t>
            </w:r>
            <w:r>
              <w:rPr>
                <w:rFonts w:hint="eastAsia"/>
                <w:lang w:val="en-US" w:eastAsia="zh-CN"/>
              </w:rPr>
              <w:t>补充损耗量按循环量的 1%计，</w:t>
            </w:r>
            <w:r>
              <w:rPr>
                <w:rFonts w:hint="eastAsia"/>
                <w:color w:val="auto"/>
                <w:lang w:eastAsia="zh-CN"/>
              </w:rPr>
              <w:t>补水量</w:t>
            </w:r>
            <w:r>
              <w:rPr>
                <w:rFonts w:hint="eastAsia"/>
                <w:color w:val="auto"/>
                <w:lang w:val="en-US" w:eastAsia="zh-CN"/>
              </w:rPr>
              <w:t>约1.8</w:t>
            </w:r>
            <w:r>
              <w:rPr>
                <w:rFonts w:hint="eastAsia"/>
                <w:color w:val="auto"/>
                <w:lang w:eastAsia="zh-CN"/>
              </w:rPr>
              <w:t>m</w:t>
            </w:r>
            <w:r>
              <w:rPr>
                <w:rFonts w:hint="eastAsia"/>
                <w:color w:val="auto"/>
                <w:vertAlign w:val="superscript"/>
                <w:lang w:eastAsia="zh-CN"/>
              </w:rPr>
              <w:t>3</w:t>
            </w:r>
            <w:r>
              <w:rPr>
                <w:rFonts w:hint="eastAsia"/>
                <w:color w:val="auto"/>
                <w:lang w:eastAsia="zh-CN"/>
              </w:rPr>
              <w:t>/d（</w:t>
            </w:r>
            <w:r>
              <w:rPr>
                <w:rFonts w:hint="eastAsia"/>
                <w:color w:val="auto"/>
                <w:lang w:val="en-US" w:eastAsia="zh-CN"/>
              </w:rPr>
              <w:t>540</w:t>
            </w:r>
            <w:r>
              <w:rPr>
                <w:rFonts w:hint="eastAsia"/>
                <w:color w:val="auto"/>
                <w:lang w:eastAsia="zh-CN"/>
              </w:rPr>
              <w:t>m</w:t>
            </w:r>
            <w:r>
              <w:rPr>
                <w:rFonts w:hint="eastAsia"/>
                <w:color w:val="auto"/>
                <w:vertAlign w:val="superscript"/>
                <w:lang w:eastAsia="zh-CN"/>
              </w:rPr>
              <w:t>3</w:t>
            </w:r>
            <w:r>
              <w:rPr>
                <w:rFonts w:hint="eastAsia"/>
                <w:color w:val="auto"/>
                <w:lang w:eastAsia="zh-CN"/>
              </w:rPr>
              <w:t>/a）。</w:t>
            </w:r>
          </w:p>
          <w:p>
            <w:pPr>
              <w:pStyle w:val="82"/>
              <w:bidi w:val="0"/>
              <w:rPr>
                <w:rFonts w:hint="eastAsia"/>
                <w:b/>
                <w:bCs/>
                <w:color w:val="auto"/>
                <w:lang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）生活用水</w:t>
            </w:r>
          </w:p>
          <w:p>
            <w:pPr>
              <w:pStyle w:val="72"/>
              <w:bidi w:val="0"/>
              <w:rPr>
                <w:rFonts w:hint="eastAsia"/>
                <w:lang w:val="en-US" w:eastAsia="zh-CN"/>
              </w:rPr>
            </w:pPr>
            <w:r>
              <w:rPr>
                <w:rFonts w:hint="eastAsia" w:cs="Times New Roman"/>
                <w:color w:val="000000"/>
                <w:sz w:val="24"/>
                <w:szCs w:val="24"/>
                <w:lang w:val="en-US" w:eastAsia="zh-CN"/>
              </w:rPr>
              <w:t>劳动定员13</w:t>
            </w:r>
            <w:r>
              <w:rPr>
                <w:rFonts w:hint="eastAsia" w:ascii="Times New Roman" w:hAnsi="Times New Roman" w:eastAsia="宋体" w:cs="Times New Roman"/>
                <w:color w:val="000000"/>
                <w:sz w:val="24"/>
                <w:szCs w:val="24"/>
                <w:lang w:eastAsia="zh-CN"/>
              </w:rPr>
              <w:t>人，厂区</w:t>
            </w:r>
            <w:r>
              <w:rPr>
                <w:rFonts w:hint="eastAsia" w:cs="Times New Roman"/>
                <w:color w:val="000000"/>
                <w:sz w:val="24"/>
                <w:szCs w:val="24"/>
                <w:lang w:val="en-US" w:eastAsia="zh-CN"/>
              </w:rPr>
              <w:t>不</w:t>
            </w:r>
            <w:r>
              <w:rPr>
                <w:rFonts w:hint="eastAsia" w:cs="Times New Roman"/>
                <w:color w:val="000000"/>
                <w:sz w:val="24"/>
                <w:szCs w:val="24"/>
                <w:lang w:eastAsia="zh-CN"/>
              </w:rPr>
              <w:t>提供餐食无住宿</w:t>
            </w:r>
            <w:r>
              <w:rPr>
                <w:rFonts w:hint="eastAsia" w:ascii="Times New Roman" w:hAnsi="Times New Roman" w:eastAsia="宋体" w:cs="Times New Roman"/>
                <w:color w:val="000000"/>
                <w:sz w:val="24"/>
                <w:szCs w:val="24"/>
                <w:lang w:eastAsia="zh-CN"/>
              </w:rPr>
              <w:t>，人员</w:t>
            </w:r>
            <w:r>
              <w:rPr>
                <w:rFonts w:hint="default" w:ascii="Times New Roman" w:hAnsi="Times New Roman" w:eastAsia="宋体" w:cs="Times New Roman"/>
                <w:color w:val="000000"/>
                <w:sz w:val="24"/>
                <w:szCs w:val="24"/>
              </w:rPr>
              <w:t>生活用水</w:t>
            </w:r>
            <w:r>
              <w:rPr>
                <w:rFonts w:hint="eastAsia" w:ascii="Times New Roman" w:hAnsi="Times New Roman" w:eastAsia="宋体" w:cs="Times New Roman"/>
                <w:color w:val="000000"/>
                <w:sz w:val="24"/>
                <w:szCs w:val="24"/>
                <w:lang w:eastAsia="zh-CN"/>
              </w:rPr>
              <w:t>按照</w:t>
            </w:r>
            <w:r>
              <w:rPr>
                <w:rFonts w:hint="default" w:ascii="Times New Roman" w:hAnsi="Times New Roman" w:eastAsia="宋体" w:cs="Times New Roman"/>
                <w:color w:val="000000"/>
                <w:sz w:val="24"/>
                <w:szCs w:val="24"/>
              </w:rPr>
              <w:t>每人每天</w:t>
            </w:r>
            <w:r>
              <w:rPr>
                <w:rFonts w:hint="eastAsia" w:cs="Times New Roman"/>
                <w:color w:val="000000"/>
                <w:sz w:val="24"/>
                <w:szCs w:val="24"/>
                <w:lang w:val="en-US" w:eastAsia="zh-CN"/>
              </w:rPr>
              <w:t>50</w:t>
            </w:r>
            <w:r>
              <w:rPr>
                <w:rFonts w:hint="default" w:ascii="Times New Roman" w:hAnsi="Times New Roman" w:eastAsia="宋体" w:cs="Times New Roman"/>
                <w:color w:val="000000"/>
                <w:sz w:val="24"/>
                <w:szCs w:val="24"/>
              </w:rPr>
              <w:t>L</w:t>
            </w:r>
            <w:r>
              <w:rPr>
                <w:rFonts w:hint="eastAsia" w:ascii="Times New Roman" w:hAnsi="Times New Roman" w:eastAsia="宋体" w:cs="Times New Roman"/>
                <w:color w:val="000000"/>
                <w:sz w:val="24"/>
                <w:szCs w:val="24"/>
                <w:lang w:eastAsia="zh-CN"/>
              </w:rPr>
              <w:t>计</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eastAsia="zh-CN"/>
              </w:rPr>
              <w:t>则</w:t>
            </w:r>
            <w:r>
              <w:rPr>
                <w:rFonts w:hint="default" w:ascii="Times New Roman" w:hAnsi="Times New Roman" w:eastAsia="宋体" w:cs="Times New Roman"/>
                <w:color w:val="000000"/>
                <w:sz w:val="24"/>
                <w:szCs w:val="24"/>
              </w:rPr>
              <w:t>生活用水量为</w:t>
            </w:r>
            <w:r>
              <w:rPr>
                <w:rFonts w:hint="eastAsia" w:cs="Times New Roman"/>
                <w:color w:val="000000"/>
                <w:sz w:val="24"/>
                <w:szCs w:val="24"/>
                <w:lang w:val="en-US" w:eastAsia="zh-CN"/>
              </w:rPr>
              <w:t>0.65</w:t>
            </w:r>
            <w:r>
              <w:rPr>
                <w:rFonts w:hint="eastAsia" w:ascii="Times New Roman" w:hAnsi="Times New Roman" w:eastAsia="宋体" w:cs="Times New Roman"/>
                <w:color w:val="000000"/>
                <w:sz w:val="24"/>
                <w:szCs w:val="24"/>
                <w:lang w:val="en-US" w:eastAsia="zh-CN"/>
              </w:rPr>
              <w:t>t</w:t>
            </w:r>
            <w:r>
              <w:rPr>
                <w:rFonts w:hint="default" w:ascii="Times New Roman" w:hAnsi="Times New Roman" w:eastAsia="宋体" w:cs="Times New Roman"/>
                <w:color w:val="000000"/>
                <w:sz w:val="24"/>
                <w:szCs w:val="24"/>
              </w:rPr>
              <w:t>/d</w:t>
            </w:r>
            <w:r>
              <w:rPr>
                <w:rFonts w:hint="eastAsia" w:cs="Times New Roman"/>
                <w:color w:val="000000"/>
                <w:sz w:val="24"/>
                <w:szCs w:val="24"/>
                <w:lang w:eastAsia="zh-CN"/>
              </w:rPr>
              <w:t>，</w:t>
            </w:r>
            <w:r>
              <w:rPr>
                <w:rFonts w:hint="eastAsia" w:cs="Times New Roman"/>
                <w:color w:val="000000"/>
                <w:sz w:val="24"/>
                <w:szCs w:val="24"/>
                <w:lang w:val="en-US" w:eastAsia="zh-CN"/>
              </w:rPr>
              <w:t>195</w:t>
            </w:r>
            <w:r>
              <w:rPr>
                <w:rFonts w:hint="eastAsia" w:ascii="Times New Roman" w:hAnsi="Times New Roman" w:eastAsia="宋体" w:cs="Times New Roman"/>
                <w:color w:val="000000"/>
                <w:sz w:val="24"/>
                <w:szCs w:val="24"/>
                <w:lang w:val="en-US" w:eastAsia="zh-CN"/>
              </w:rPr>
              <w:t>t</w:t>
            </w:r>
            <w:r>
              <w:rPr>
                <w:rFonts w:hint="default" w:ascii="Times New Roman" w:hAnsi="Times New Roman" w:eastAsia="宋体" w:cs="Times New Roman"/>
                <w:color w:val="000000"/>
                <w:sz w:val="24"/>
                <w:szCs w:val="24"/>
              </w:rPr>
              <w:t>/a。生活污水按照用水量的</w:t>
            </w:r>
            <w:r>
              <w:rPr>
                <w:rFonts w:hint="eastAsia" w:ascii="Times New Roman" w:hAnsi="Times New Roman" w:eastAsia="宋体" w:cs="Times New Roman"/>
                <w:color w:val="000000"/>
                <w:sz w:val="24"/>
                <w:szCs w:val="24"/>
                <w:lang w:val="en-US" w:eastAsia="zh-CN"/>
              </w:rPr>
              <w:t>80</w:t>
            </w:r>
            <w:r>
              <w:rPr>
                <w:rFonts w:hint="default" w:ascii="Times New Roman" w:hAnsi="Times New Roman" w:eastAsia="宋体" w:cs="Times New Roman"/>
                <w:color w:val="000000"/>
                <w:sz w:val="24"/>
                <w:szCs w:val="24"/>
              </w:rPr>
              <w:t>%计算，</w:t>
            </w:r>
            <w:r>
              <w:rPr>
                <w:rFonts w:hint="eastAsia" w:ascii="Times New Roman" w:hAnsi="Times New Roman" w:eastAsia="宋体" w:cs="Times New Roman"/>
                <w:color w:val="000000"/>
                <w:sz w:val="24"/>
                <w:szCs w:val="24"/>
                <w:lang w:eastAsia="zh-CN"/>
              </w:rPr>
              <w:t>则项目</w:t>
            </w:r>
            <w:r>
              <w:rPr>
                <w:rFonts w:hint="default" w:ascii="Times New Roman" w:hAnsi="Times New Roman" w:eastAsia="宋体" w:cs="Times New Roman"/>
                <w:color w:val="000000"/>
                <w:sz w:val="24"/>
                <w:szCs w:val="24"/>
              </w:rPr>
              <w:t>生活废水量为</w:t>
            </w:r>
            <w:r>
              <w:rPr>
                <w:rFonts w:hint="eastAsia" w:cs="Times New Roman"/>
                <w:color w:val="000000"/>
                <w:sz w:val="24"/>
                <w:szCs w:val="24"/>
                <w:lang w:val="en-US" w:eastAsia="zh-CN"/>
              </w:rPr>
              <w:t>0.52</w:t>
            </w:r>
            <w:r>
              <w:rPr>
                <w:rFonts w:hint="eastAsia" w:ascii="Times New Roman" w:hAnsi="Times New Roman" w:eastAsia="宋体" w:cs="Times New Roman"/>
                <w:color w:val="000000"/>
                <w:sz w:val="24"/>
                <w:szCs w:val="24"/>
                <w:lang w:val="en-US" w:eastAsia="zh-CN"/>
              </w:rPr>
              <w:t>t</w:t>
            </w:r>
            <w:r>
              <w:rPr>
                <w:rFonts w:hint="default" w:ascii="Times New Roman" w:hAnsi="Times New Roman" w:eastAsia="宋体" w:cs="Times New Roman"/>
                <w:color w:val="000000"/>
                <w:sz w:val="24"/>
                <w:szCs w:val="24"/>
              </w:rPr>
              <w:t>/d</w:t>
            </w:r>
            <w:r>
              <w:rPr>
                <w:rFonts w:hint="eastAsia" w:cs="Times New Roman"/>
                <w:color w:val="000000"/>
                <w:sz w:val="24"/>
                <w:szCs w:val="24"/>
                <w:lang w:eastAsia="zh-CN"/>
              </w:rPr>
              <w:t>，</w:t>
            </w:r>
            <w:r>
              <w:rPr>
                <w:rFonts w:hint="eastAsia" w:cs="Times New Roman"/>
                <w:color w:val="000000"/>
                <w:sz w:val="24"/>
                <w:szCs w:val="24"/>
                <w:lang w:val="en-US" w:eastAsia="zh-CN"/>
              </w:rPr>
              <w:t>156</w:t>
            </w:r>
            <w:r>
              <w:rPr>
                <w:rFonts w:hint="eastAsia" w:ascii="Times New Roman" w:hAnsi="Times New Roman" w:eastAsia="宋体" w:cs="Times New Roman"/>
                <w:color w:val="000000"/>
                <w:sz w:val="24"/>
                <w:szCs w:val="24"/>
                <w:lang w:val="en-US" w:eastAsia="zh-CN"/>
              </w:rPr>
              <w:t>t</w:t>
            </w:r>
            <w:r>
              <w:rPr>
                <w:rFonts w:hint="default" w:ascii="Times New Roman" w:hAnsi="Times New Roman" w:eastAsia="宋体" w:cs="Times New Roman"/>
                <w:color w:val="000000"/>
                <w:sz w:val="24"/>
                <w:szCs w:val="24"/>
              </w:rPr>
              <w:t>/a</w:t>
            </w:r>
            <w:r>
              <w:rPr>
                <w:rFonts w:hint="eastAsia" w:cs="Times New Roman"/>
                <w:color w:val="000000"/>
                <w:sz w:val="24"/>
                <w:szCs w:val="24"/>
                <w:lang w:val="en-US" w:eastAsia="zh-CN"/>
              </w:rPr>
              <w:t>。</w:t>
            </w:r>
            <w:r>
              <w:rPr>
                <w:rFonts w:hint="eastAsia"/>
                <w:lang w:val="en-US" w:eastAsia="zh-CN"/>
              </w:rPr>
              <w:t>本项目周边农田广大，生活污水经旱厕处理后为周边农田消纳使用。</w:t>
            </w:r>
          </w:p>
          <w:p>
            <w:pPr>
              <w:pStyle w:val="72"/>
              <w:bidi w:val="0"/>
              <w:rPr>
                <w:rFonts w:hint="eastAsia"/>
                <w:b/>
                <w:bCs/>
                <w:color w:val="auto"/>
                <w:lang w:eastAsia="zh-CN"/>
              </w:rPr>
            </w:pPr>
            <w:r>
              <w:rPr>
                <w:rFonts w:hint="eastAsia"/>
                <w:b/>
                <w:bCs/>
                <w:color w:val="auto"/>
                <w:lang w:val="en-US" w:eastAsia="zh-CN"/>
              </w:rPr>
              <w:t xml:space="preserve">（3）三乙胺净化用水 </w:t>
            </w:r>
          </w:p>
          <w:p>
            <w:pPr>
              <w:pStyle w:val="37"/>
              <w:bidi w:val="0"/>
              <w:spacing w:line="360" w:lineRule="auto"/>
              <w:rPr>
                <w:rStyle w:val="87"/>
                <w:rFonts w:hint="default"/>
                <w:b/>
              </w:rPr>
            </w:pPr>
            <w:r>
              <w:rPr>
                <w:highlight w:val="none"/>
              </w:rPr>
              <w:object>
                <v:shape id="_x0000_i1025" o:spt="75" type="#_x0000_t75" style="height:195.65pt;width:385.05pt;" o:ole="t" filled="f" o:preferrelative="t" stroked="f" coordsize="21600,21600">
                  <v:path/>
                  <v:fill on="f" focussize="0,0"/>
                  <v:stroke on="f"/>
                  <v:imagedata r:id="rId13" o:title=""/>
                  <o:lock v:ext="edit" aspectratio="t"/>
                  <w10:wrap type="none"/>
                  <w10:anchorlock/>
                </v:shape>
                <o:OLEObject Type="Embed" ProgID="Visio.Drawing.15" ShapeID="_x0000_i1025" DrawAspect="Content" ObjectID="_1468075725" r:id="rId12">
                  <o:LockedField>false</o:LockedField>
                </o:OLEObject>
              </w:object>
            </w:r>
          </w:p>
          <w:p>
            <w:pPr>
              <w:pStyle w:val="37"/>
              <w:bidi w:val="0"/>
              <w:spacing w:line="360" w:lineRule="auto"/>
              <w:rPr>
                <w:rStyle w:val="87"/>
                <w:rFonts w:hint="default"/>
                <w:b/>
                <w:lang w:val="en-US" w:eastAsia="zh-CN"/>
              </w:rPr>
            </w:pPr>
            <w:r>
              <w:rPr>
                <w:rStyle w:val="87"/>
                <w:rFonts w:hint="default"/>
                <w:b/>
              </w:rPr>
              <w:t>图</w:t>
            </w:r>
            <w:r>
              <w:rPr>
                <w:rStyle w:val="87"/>
                <w:rFonts w:hint="eastAsia"/>
                <w:b/>
                <w:lang w:val="en-US" w:eastAsia="zh-CN"/>
              </w:rPr>
              <w:t>2-1</w:t>
            </w:r>
            <w:r>
              <w:rPr>
                <w:rStyle w:val="87"/>
                <w:rFonts w:hint="default"/>
                <w:b/>
              </w:rPr>
              <w:t xml:space="preserve"> 项目水平衡图</w:t>
            </w:r>
            <w:r>
              <w:rPr>
                <w:rStyle w:val="87"/>
                <w:rFonts w:hint="eastAsia"/>
                <w:b/>
                <w:lang w:val="en-US" w:eastAsia="zh-CN"/>
              </w:rPr>
              <w:t xml:space="preserve">    </w:t>
            </w:r>
          </w:p>
          <w:p>
            <w:pPr>
              <w:pStyle w:val="72"/>
              <w:bidi w:val="0"/>
              <w:rPr>
                <w:rFonts w:hint="eastAsia"/>
                <w:lang w:val="en-US" w:eastAsia="zh-CN"/>
              </w:rPr>
            </w:pPr>
            <w:r>
              <w:rPr>
                <w:rFonts w:hint="eastAsia"/>
                <w:color w:val="auto"/>
                <w:lang w:val="en-US" w:eastAsia="zh-CN"/>
              </w:rPr>
              <w:t>三乙胺净化塔处理废气量共5000m</w:t>
            </w:r>
            <w:r>
              <w:rPr>
                <w:rFonts w:hint="eastAsia"/>
                <w:color w:val="auto"/>
                <w:vertAlign w:val="superscript"/>
                <w:lang w:val="en-US" w:eastAsia="zh-CN"/>
              </w:rPr>
              <w:t>3</w:t>
            </w:r>
            <w:r>
              <w:rPr>
                <w:rFonts w:hint="eastAsia"/>
                <w:color w:val="auto"/>
                <w:lang w:val="en-US" w:eastAsia="zh-CN"/>
              </w:rPr>
              <w:t xml:space="preserve"> /h，液气比设计值为 1L/m</w:t>
            </w:r>
            <w:r>
              <w:rPr>
                <w:rFonts w:hint="eastAsia"/>
                <w:color w:val="auto"/>
                <w:vertAlign w:val="superscript"/>
                <w:lang w:val="en-US" w:eastAsia="zh-CN"/>
              </w:rPr>
              <w:t>3</w:t>
            </w:r>
            <w:r>
              <w:rPr>
                <w:rFonts w:hint="eastAsia"/>
                <w:color w:val="auto"/>
                <w:lang w:val="en-US" w:eastAsia="zh-CN"/>
              </w:rPr>
              <w:t>，则净化塔循环用水量为5m</w:t>
            </w:r>
            <w:r>
              <w:rPr>
                <w:rFonts w:hint="eastAsia"/>
                <w:color w:val="auto"/>
                <w:vertAlign w:val="superscript"/>
                <w:lang w:val="en-US" w:eastAsia="zh-CN"/>
              </w:rPr>
              <w:t xml:space="preserve"> 3</w:t>
            </w:r>
            <w:r>
              <w:rPr>
                <w:rFonts w:hint="eastAsia"/>
                <w:color w:val="auto"/>
                <w:lang w:val="en-US" w:eastAsia="zh-CN"/>
              </w:rPr>
              <w:t>/h，补充损耗量按循环量的2%计，排水量按照补水量的 10%计，则三乙胺净化补充水0.1m</w:t>
            </w:r>
            <w:r>
              <w:rPr>
                <w:rFonts w:hint="eastAsia"/>
                <w:color w:val="auto"/>
                <w:vertAlign w:val="superscript"/>
                <w:lang w:val="en-US" w:eastAsia="zh-CN"/>
              </w:rPr>
              <w:t>3</w:t>
            </w:r>
            <w:r>
              <w:rPr>
                <w:rFonts w:hint="eastAsia"/>
                <w:color w:val="auto"/>
                <w:lang w:val="en-US" w:eastAsia="zh-CN"/>
              </w:rPr>
              <w:t xml:space="preserve"> /h，0.4m</w:t>
            </w:r>
            <w:r>
              <w:rPr>
                <w:rFonts w:hint="eastAsia"/>
                <w:color w:val="auto"/>
                <w:vertAlign w:val="superscript"/>
                <w:lang w:val="en-US" w:eastAsia="zh-CN"/>
              </w:rPr>
              <w:t>3</w:t>
            </w:r>
            <w:r>
              <w:rPr>
                <w:rFonts w:hint="eastAsia"/>
                <w:color w:val="auto"/>
                <w:lang w:val="en-US" w:eastAsia="zh-CN"/>
              </w:rPr>
              <w:t xml:space="preserve"> /d，120m</w:t>
            </w:r>
            <w:r>
              <w:rPr>
                <w:rFonts w:hint="eastAsia"/>
                <w:color w:val="auto"/>
                <w:vertAlign w:val="superscript"/>
                <w:lang w:val="en-US" w:eastAsia="zh-CN"/>
              </w:rPr>
              <w:t>3</w:t>
            </w:r>
            <w:r>
              <w:rPr>
                <w:rFonts w:hint="eastAsia"/>
                <w:color w:val="auto"/>
                <w:lang w:val="en-US" w:eastAsia="zh-CN"/>
              </w:rPr>
              <w:t xml:space="preserve"> /a，废水量为0.01m</w:t>
            </w:r>
            <w:r>
              <w:rPr>
                <w:rFonts w:hint="eastAsia"/>
                <w:color w:val="auto"/>
                <w:vertAlign w:val="superscript"/>
                <w:lang w:val="en-US" w:eastAsia="zh-CN"/>
              </w:rPr>
              <w:t>3</w:t>
            </w:r>
            <w:r>
              <w:rPr>
                <w:rFonts w:hint="eastAsia"/>
                <w:color w:val="auto"/>
                <w:lang w:val="en-US" w:eastAsia="zh-CN"/>
              </w:rPr>
              <w:t xml:space="preserve"> /h，0.04m</w:t>
            </w:r>
            <w:r>
              <w:rPr>
                <w:rFonts w:hint="eastAsia"/>
                <w:color w:val="auto"/>
                <w:vertAlign w:val="superscript"/>
                <w:lang w:val="en-US" w:eastAsia="zh-CN"/>
              </w:rPr>
              <w:t>3</w:t>
            </w:r>
            <w:r>
              <w:rPr>
                <w:rFonts w:hint="eastAsia"/>
                <w:color w:val="auto"/>
                <w:lang w:val="en-US" w:eastAsia="zh-CN"/>
              </w:rPr>
              <w:t xml:space="preserve"> /d，12m</w:t>
            </w:r>
            <w:r>
              <w:rPr>
                <w:rFonts w:hint="eastAsia"/>
                <w:color w:val="auto"/>
                <w:vertAlign w:val="superscript"/>
                <w:lang w:val="en-US" w:eastAsia="zh-CN"/>
              </w:rPr>
              <w:t>3</w:t>
            </w:r>
            <w:r>
              <w:rPr>
                <w:rFonts w:hint="eastAsia"/>
                <w:color w:val="auto"/>
                <w:lang w:val="en-US" w:eastAsia="zh-CN"/>
              </w:rPr>
              <w:t xml:space="preserve"> /a。该部分废水作为危险废物委托给危废处置单位处置。</w:t>
            </w:r>
          </w:p>
          <w:p>
            <w:pPr>
              <w:pStyle w:val="72"/>
              <w:bidi w:val="0"/>
              <w:rPr>
                <w:b/>
                <w:bCs/>
                <w:color w:val="auto"/>
              </w:rPr>
            </w:pPr>
            <w:r>
              <w:rPr>
                <w:rFonts w:hint="eastAsia"/>
                <w:b/>
                <w:bCs/>
                <w:color w:val="auto"/>
                <w:lang w:val="en-US" w:eastAsia="zh-CN"/>
              </w:rPr>
              <w:t>7、</w:t>
            </w:r>
            <w:r>
              <w:rPr>
                <w:b/>
                <w:bCs/>
                <w:color w:val="auto"/>
              </w:rPr>
              <w:t>劳动定员及工作制度</w:t>
            </w:r>
          </w:p>
          <w:p>
            <w:pPr>
              <w:pStyle w:val="82"/>
              <w:bidi w:val="0"/>
              <w:rPr>
                <w:rFonts w:hint="default"/>
                <w:color w:val="auto"/>
              </w:rPr>
            </w:pPr>
            <w:r>
              <w:rPr>
                <w:rFonts w:hint="eastAsia"/>
                <w:color w:val="auto"/>
                <w:lang w:eastAsia="zh-CN"/>
              </w:rPr>
              <w:t>本项目现有职工</w:t>
            </w:r>
            <w:r>
              <w:rPr>
                <w:rFonts w:hint="eastAsia"/>
                <w:color w:val="auto"/>
                <w:lang w:val="en-US" w:eastAsia="zh-CN"/>
              </w:rPr>
              <w:t>13</w:t>
            </w:r>
            <w:r>
              <w:rPr>
                <w:rFonts w:hint="eastAsia"/>
                <w:color w:val="auto"/>
                <w:lang w:eastAsia="zh-CN"/>
              </w:rPr>
              <w:t>人，实行两班</w:t>
            </w:r>
            <w:r>
              <w:rPr>
                <w:rFonts w:hint="default"/>
                <w:color w:val="auto"/>
              </w:rPr>
              <w:t>制</w:t>
            </w:r>
            <w:r>
              <w:rPr>
                <w:rFonts w:hint="eastAsia"/>
                <w:color w:val="auto"/>
                <w:lang w:eastAsia="zh-CN"/>
              </w:rPr>
              <w:t>。</w:t>
            </w:r>
            <w:r>
              <w:rPr>
                <w:rFonts w:hint="default"/>
                <w:color w:val="auto"/>
              </w:rPr>
              <w:t>每班工作</w:t>
            </w:r>
            <w:r>
              <w:rPr>
                <w:rFonts w:hint="eastAsia"/>
                <w:color w:val="auto"/>
                <w:lang w:val="en-US" w:eastAsia="zh-CN"/>
              </w:rPr>
              <w:t>9</w:t>
            </w:r>
            <w:r>
              <w:rPr>
                <w:rFonts w:hint="default"/>
                <w:color w:val="auto"/>
              </w:rPr>
              <w:t>h</w:t>
            </w:r>
            <w:r>
              <w:rPr>
                <w:rFonts w:hint="eastAsia"/>
                <w:color w:val="auto"/>
                <w:lang w:eastAsia="zh-CN"/>
              </w:rPr>
              <w:t>，</w:t>
            </w:r>
            <w:r>
              <w:rPr>
                <w:rFonts w:hint="default"/>
                <w:color w:val="auto"/>
              </w:rPr>
              <w:t>年工作</w:t>
            </w:r>
            <w:r>
              <w:rPr>
                <w:rFonts w:hint="eastAsia"/>
                <w:color w:val="auto"/>
                <w:lang w:val="en-US" w:eastAsia="zh-CN"/>
              </w:rPr>
              <w:t>300</w:t>
            </w:r>
            <w:r>
              <w:rPr>
                <w:rFonts w:hint="default"/>
                <w:color w:val="auto"/>
              </w:rPr>
              <w:t>天</w:t>
            </w:r>
            <w:r>
              <w:rPr>
                <w:rFonts w:hint="eastAsia"/>
                <w:color w:val="auto"/>
                <w:lang w:eastAsia="zh-CN"/>
              </w:rPr>
              <w:t>，年生产时长</w:t>
            </w:r>
            <w:r>
              <w:rPr>
                <w:rFonts w:hint="eastAsia"/>
                <w:color w:val="auto"/>
                <w:lang w:val="en-US" w:eastAsia="zh-CN"/>
              </w:rPr>
              <w:t>5400h</w:t>
            </w:r>
            <w:r>
              <w:rPr>
                <w:rFonts w:hint="default"/>
                <w:color w:val="auto"/>
              </w:rPr>
              <w:t>。</w:t>
            </w:r>
          </w:p>
          <w:p>
            <w:pPr>
              <w:pStyle w:val="82"/>
              <w:bidi w:val="0"/>
              <w:rPr>
                <w:rFonts w:hint="default"/>
                <w:color w:val="FF0000"/>
                <w:lang w:val="en-US" w:eastAsia="zh-CN"/>
              </w:rPr>
            </w:pPr>
            <w:r>
              <w:rPr>
                <w:rFonts w:hint="eastAsia"/>
                <w:color w:val="auto"/>
                <w:lang w:val="en-US" w:eastAsia="zh-CN"/>
              </w:rPr>
              <w:t>夜间22点到早8点进行熔炼、浇注等工序工作；昼间8点到16点：进行砂处理、制芯、清理等工序。其中，浇注工序每天工作2小时，制芯、砂处理工序每天工作4小时；</w:t>
            </w:r>
          </w:p>
          <w:p>
            <w:pPr>
              <w:keepNext w:val="0"/>
              <w:keepLines w:val="0"/>
              <w:pageBreakBefore w:val="0"/>
              <w:widowControl w:val="0"/>
              <w:kinsoku/>
              <w:wordWrap/>
              <w:overflowPunct/>
              <w:topLinePunct w:val="0"/>
              <w:autoSpaceDE/>
              <w:autoSpaceDN/>
              <w:bidi w:val="0"/>
              <w:adjustRightInd/>
              <w:snapToGrid/>
              <w:spacing w:line="20" w:lineRule="exact"/>
              <w:ind w:left="0" w:leftChars="0" w:firstLine="482"/>
              <w:textAlignment w:val="auto"/>
              <w:rPr>
                <w:rFonts w:hint="eastAsia" w:ascii="Times New Roman" w:hAnsi="Times New Roman" w:eastAsia="宋体" w:cs="Times New Roman"/>
                <w:b/>
                <w:bCs/>
                <w:color w:val="auto"/>
                <w:sz w:val="24"/>
                <w:szCs w:val="24"/>
                <w:lang w:val="en-US" w:eastAsia="zh-CN"/>
              </w:rPr>
            </w:pPr>
          </w:p>
          <w:p>
            <w:pPr>
              <w:pStyle w:val="41"/>
              <w:keepNext w:val="0"/>
              <w:keepLines w:val="0"/>
              <w:pageBreakBefore w:val="0"/>
              <w:widowControl/>
              <w:kinsoku/>
              <w:wordWrap/>
              <w:overflowPunct/>
              <w:topLinePunct w:val="0"/>
              <w:autoSpaceDE/>
              <w:autoSpaceDN/>
              <w:bidi w:val="0"/>
              <w:adjustRightInd/>
              <w:snapToGrid/>
              <w:spacing w:line="20" w:lineRule="exact"/>
              <w:textAlignment w:val="auto"/>
              <w:rPr>
                <w:rFonts w:hint="eastAsia"/>
                <w:b/>
                <w:bCs/>
                <w:color w:val="auto"/>
                <w:lang w:val="en-US" w:eastAsia="zh-CN"/>
              </w:rPr>
            </w:pPr>
          </w:p>
          <w:p>
            <w:pPr>
              <w:pStyle w:val="41"/>
              <w:bidi w:val="0"/>
              <w:rPr>
                <w:rFonts w:hint="eastAsia"/>
                <w:b/>
                <w:bCs/>
                <w:color w:val="auto"/>
                <w:lang w:eastAsia="zh-CN"/>
              </w:rPr>
            </w:pPr>
            <w:r>
              <w:rPr>
                <w:rFonts w:hint="eastAsia"/>
                <w:b/>
                <w:bCs/>
                <w:color w:val="auto"/>
                <w:lang w:val="en-US" w:eastAsia="zh-CN"/>
              </w:rPr>
              <w:t>8、</w:t>
            </w:r>
            <w:r>
              <w:rPr>
                <w:rFonts w:hint="eastAsia"/>
                <w:b/>
                <w:bCs/>
                <w:color w:val="auto"/>
                <w:lang w:eastAsia="zh-CN"/>
              </w:rPr>
              <w:t>总平面布置</w:t>
            </w:r>
          </w:p>
          <w:p>
            <w:pPr>
              <w:pStyle w:val="82"/>
              <w:bidi w:val="0"/>
              <w:rPr>
                <w:rFonts w:hint="default"/>
                <w:color w:val="auto"/>
                <w:lang w:val="en-US" w:eastAsia="zh-CN"/>
              </w:rPr>
            </w:pPr>
            <w:r>
              <w:rPr>
                <w:rFonts w:hint="eastAsia"/>
                <w:color w:val="auto"/>
                <w:lang w:val="en-US" w:eastAsia="zh-CN"/>
              </w:rPr>
              <w:t>根据现场调查，熔炼区位于厂房内西南侧；浇注区位于厂房西侧，砂处理及制芯区位于厂房北侧；铸件抛丸清理位于厂房内东南侧；原料区位于铸件抛丸清理区北侧；成品区位于铸件抛丸清理区南侧；辅料库、一般固废暂存区、危险废物暂存区位于车间西北角。循环水池位于厂房外西侧。</w:t>
            </w:r>
          </w:p>
          <w:p>
            <w:pPr>
              <w:pStyle w:val="82"/>
              <w:bidi w:val="0"/>
              <w:rPr>
                <w:rFonts w:hint="eastAsia"/>
                <w:b/>
                <w:bCs/>
                <w:color w:val="auto"/>
                <w:lang w:eastAsia="zh-CN"/>
              </w:rPr>
            </w:pPr>
            <w:r>
              <w:rPr>
                <w:rFonts w:hint="eastAsia"/>
                <w:b/>
                <w:bCs/>
                <w:color w:val="auto"/>
                <w:lang w:val="en-US" w:eastAsia="zh-CN"/>
              </w:rPr>
              <w:t>9、</w:t>
            </w:r>
            <w:r>
              <w:rPr>
                <w:rFonts w:hint="eastAsia"/>
                <w:b/>
                <w:bCs/>
                <w:color w:val="auto"/>
                <w:lang w:eastAsia="zh-CN"/>
              </w:rPr>
              <w:t>项目排污许可类别</w:t>
            </w:r>
          </w:p>
          <w:p>
            <w:pPr>
              <w:pStyle w:val="75"/>
              <w:ind w:firstLine="480"/>
              <w:rPr>
                <w:rFonts w:ascii="Times New Roman" w:hAnsi="Times New Roman"/>
                <w:color w:val="0000FF"/>
                <w:lang w:val="en-US" w:eastAsia="zh-CN"/>
              </w:rPr>
            </w:pPr>
            <w:r>
              <w:rPr>
                <w:rFonts w:ascii="Times New Roman"/>
                <w:color w:val="auto"/>
                <w:lang w:val="en-US" w:eastAsia="zh-CN"/>
              </w:rPr>
              <w:t>根据《固定污染源排污许可分类管理名录（</w:t>
            </w:r>
            <w:r>
              <w:rPr>
                <w:rFonts w:ascii="Times New Roman" w:hAnsi="Times New Roman"/>
                <w:color w:val="auto"/>
                <w:lang w:val="en-US" w:eastAsia="zh-CN"/>
              </w:rPr>
              <w:t>2019</w:t>
            </w:r>
            <w:r>
              <w:rPr>
                <w:rFonts w:ascii="Times New Roman"/>
                <w:color w:val="auto"/>
                <w:lang w:val="en-US" w:eastAsia="zh-CN"/>
              </w:rPr>
              <w:t>年版）》，</w:t>
            </w:r>
            <w:r>
              <w:rPr>
                <w:rFonts w:hint="eastAsia" w:hAnsi="宋体" w:cs="Times New Roman"/>
                <w:color w:val="auto"/>
                <w:kern w:val="0"/>
                <w:lang w:eastAsia="zh-CN"/>
              </w:rPr>
              <w:t>本项目</w:t>
            </w:r>
            <w:r>
              <w:rPr>
                <w:rFonts w:ascii="Times New Roman"/>
                <w:color w:val="auto"/>
                <w:lang w:val="en-US" w:eastAsia="zh-CN"/>
              </w:rPr>
              <w:t>排污许可申请类别为</w:t>
            </w:r>
            <w:r>
              <w:rPr>
                <w:rFonts w:hint="eastAsia" w:ascii="Times New Roman" w:hAnsi="Times New Roman"/>
                <w:b/>
                <w:bCs/>
                <w:color w:val="auto"/>
                <w:lang w:val="en-US" w:eastAsia="zh-CN"/>
              </w:rPr>
              <w:t>“</w:t>
            </w:r>
            <w:r>
              <w:rPr>
                <w:rFonts w:hint="eastAsia"/>
                <w:b/>
                <w:bCs/>
                <w:color w:val="auto"/>
                <w:lang w:val="en-US" w:eastAsia="zh-CN"/>
              </w:rPr>
              <w:t>简化</w:t>
            </w:r>
            <w:r>
              <w:rPr>
                <w:rFonts w:ascii="Times New Roman"/>
                <w:b/>
                <w:bCs/>
                <w:color w:val="auto"/>
                <w:lang w:val="en-US" w:eastAsia="zh-CN"/>
              </w:rPr>
              <w:t>管理</w:t>
            </w:r>
            <w:r>
              <w:rPr>
                <w:rFonts w:hint="eastAsia" w:ascii="Times New Roman" w:hAnsi="Times New Roman"/>
                <w:b/>
                <w:bCs/>
                <w:color w:val="auto"/>
                <w:lang w:val="en-US" w:eastAsia="zh-CN"/>
              </w:rPr>
              <w:t>”</w:t>
            </w:r>
            <w:r>
              <w:rPr>
                <w:rFonts w:ascii="Times New Roman"/>
                <w:color w:val="auto"/>
                <w:lang w:val="en-US" w:eastAsia="zh-CN"/>
              </w:rPr>
              <w:t>。</w:t>
            </w:r>
            <w:r>
              <w:rPr>
                <w:rFonts w:hint="eastAsia" w:ascii="Times New Roman"/>
                <w:color w:val="auto"/>
                <w:lang w:val="en-US" w:eastAsia="zh-CN"/>
              </w:rPr>
              <w:t>具体分析</w:t>
            </w:r>
            <w:r>
              <w:rPr>
                <w:rFonts w:ascii="Times New Roman"/>
                <w:color w:val="auto"/>
                <w:lang w:val="en-US" w:eastAsia="zh-CN"/>
              </w:rPr>
              <w:t>详见</w:t>
            </w:r>
            <w:r>
              <w:rPr>
                <w:rFonts w:hint="eastAsia" w:ascii="Times New Roman"/>
                <w:color w:val="auto"/>
                <w:lang w:val="en-US" w:eastAsia="zh-CN"/>
              </w:rPr>
              <w:t>下表</w:t>
            </w:r>
            <w:r>
              <w:rPr>
                <w:rFonts w:ascii="Times New Roman"/>
                <w:color w:val="auto"/>
                <w:lang w:val="en-US" w:eastAsia="zh-CN"/>
              </w:rPr>
              <w:t>。</w:t>
            </w:r>
          </w:p>
          <w:p>
            <w:pPr>
              <w:pStyle w:val="70"/>
              <w:bidi w:val="0"/>
              <w:rPr>
                <w:rFonts w:hint="eastAsia"/>
                <w:color w:val="auto"/>
                <w:lang w:val="en-US" w:eastAsia="zh-CN"/>
              </w:rPr>
            </w:pPr>
            <w:r>
              <w:rPr>
                <w:rFonts w:hint="eastAsia"/>
                <w:color w:val="auto"/>
                <w:lang w:val="en-US" w:eastAsia="zh-CN"/>
              </w:rPr>
              <w:t>表2-8固定污染源排污许可分类管理名录（摘录）</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29"/>
              <w:gridCol w:w="2430"/>
              <w:gridCol w:w="1877"/>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noWrap w:val="0"/>
                  <w:vAlign w:val="center"/>
                </w:tcPr>
                <w:p>
                  <w:pPr>
                    <w:ind w:firstLine="0" w:firstLineChars="0"/>
                    <w:jc w:val="center"/>
                    <w:rPr>
                      <w:rFonts w:cs="Times New Roman"/>
                      <w:b/>
                      <w:color w:val="auto"/>
                    </w:rPr>
                  </w:pPr>
                  <w:r>
                    <w:rPr>
                      <w:rFonts w:hAnsi="宋体" w:cs="Times New Roman"/>
                      <w:b/>
                      <w:color w:val="auto"/>
                    </w:rPr>
                    <w:t>序号</w:t>
                  </w:r>
                </w:p>
              </w:tc>
              <w:tc>
                <w:tcPr>
                  <w:tcW w:w="1027" w:type="pct"/>
                  <w:noWrap w:val="0"/>
                  <w:vAlign w:val="center"/>
                </w:tcPr>
                <w:p>
                  <w:pPr>
                    <w:ind w:firstLine="0" w:firstLineChars="0"/>
                    <w:jc w:val="center"/>
                    <w:rPr>
                      <w:rFonts w:cs="Times New Roman"/>
                      <w:b/>
                      <w:color w:val="auto"/>
                    </w:rPr>
                  </w:pPr>
                  <w:r>
                    <w:rPr>
                      <w:rFonts w:hAnsi="宋体" w:cs="Times New Roman"/>
                      <w:b/>
                      <w:color w:val="auto"/>
                    </w:rPr>
                    <w:t>行业类别</w:t>
                  </w:r>
                </w:p>
              </w:tc>
              <w:tc>
                <w:tcPr>
                  <w:tcW w:w="1532" w:type="pct"/>
                  <w:noWrap w:val="0"/>
                  <w:vAlign w:val="center"/>
                </w:tcPr>
                <w:p>
                  <w:pPr>
                    <w:ind w:firstLine="0" w:firstLineChars="0"/>
                    <w:jc w:val="center"/>
                    <w:rPr>
                      <w:rFonts w:cs="Times New Roman"/>
                      <w:b/>
                      <w:color w:val="auto"/>
                    </w:rPr>
                  </w:pPr>
                  <w:r>
                    <w:rPr>
                      <w:rFonts w:hAnsi="宋体" w:cs="Times New Roman"/>
                      <w:b/>
                      <w:color w:val="auto"/>
                    </w:rPr>
                    <w:t>重点管理</w:t>
                  </w:r>
                </w:p>
              </w:tc>
              <w:tc>
                <w:tcPr>
                  <w:tcW w:w="1183" w:type="pct"/>
                  <w:noWrap w:val="0"/>
                  <w:vAlign w:val="center"/>
                </w:tcPr>
                <w:p>
                  <w:pPr>
                    <w:ind w:firstLine="0" w:firstLineChars="0"/>
                    <w:jc w:val="center"/>
                    <w:rPr>
                      <w:rFonts w:cs="Times New Roman"/>
                      <w:b/>
                      <w:color w:val="auto"/>
                    </w:rPr>
                  </w:pPr>
                  <w:r>
                    <w:rPr>
                      <w:rFonts w:hAnsi="宋体" w:cs="Times New Roman"/>
                      <w:b/>
                      <w:color w:val="auto"/>
                    </w:rPr>
                    <w:t>简化管理</w:t>
                  </w:r>
                </w:p>
              </w:tc>
              <w:tc>
                <w:tcPr>
                  <w:tcW w:w="823" w:type="pct"/>
                  <w:noWrap w:val="0"/>
                  <w:vAlign w:val="center"/>
                </w:tcPr>
                <w:p>
                  <w:pPr>
                    <w:ind w:firstLine="0" w:firstLineChars="0"/>
                    <w:jc w:val="center"/>
                    <w:rPr>
                      <w:rFonts w:cs="Times New Roman"/>
                      <w:b/>
                      <w:color w:val="auto"/>
                    </w:rPr>
                  </w:pPr>
                  <w:r>
                    <w:rPr>
                      <w:rFonts w:hAnsi="宋体" w:cs="Times New Roman"/>
                      <w:b/>
                      <w:color w:val="auto"/>
                    </w:rPr>
                    <w:t>登记管理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noWrap w:val="0"/>
                  <w:vAlign w:val="center"/>
                </w:tcPr>
                <w:p>
                  <w:pPr>
                    <w:ind w:firstLine="0" w:firstLineChars="0"/>
                    <w:jc w:val="left"/>
                    <w:rPr>
                      <w:rFonts w:hint="default" w:cs="Times New Roman"/>
                      <w:color w:val="auto"/>
                      <w:lang w:val="en-US"/>
                    </w:rPr>
                  </w:pPr>
                  <w:r>
                    <w:rPr>
                      <w:rFonts w:hint="eastAsia" w:cs="Times New Roman"/>
                      <w:b/>
                      <w:bCs/>
                      <w:color w:val="auto"/>
                    </w:rPr>
                    <w:t>二十</w:t>
                  </w:r>
                  <w:r>
                    <w:rPr>
                      <w:rFonts w:hint="eastAsia" w:cs="Times New Roman"/>
                      <w:b/>
                      <w:bCs/>
                      <w:color w:val="auto"/>
                      <w:lang w:val="en-US" w:eastAsia="zh-CN"/>
                    </w:rPr>
                    <w:t>八</w:t>
                  </w:r>
                  <w:r>
                    <w:rPr>
                      <w:rFonts w:hint="eastAsia" w:cs="Times New Roman"/>
                      <w:b/>
                      <w:bCs/>
                      <w:color w:val="auto"/>
                    </w:rPr>
                    <w:t>、</w:t>
                  </w:r>
                  <w:r>
                    <w:rPr>
                      <w:rFonts w:hint="eastAsia" w:cs="Times New Roman"/>
                      <w:b/>
                      <w:bCs/>
                      <w:color w:val="auto"/>
                      <w:lang w:val="en-US" w:eastAsia="zh-CN"/>
                    </w:rPr>
                    <w:t>金属制品33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shd w:val="clear" w:color="auto" w:fill="auto"/>
                  <w:noWrap w:val="0"/>
                  <w:vAlign w:val="center"/>
                </w:tcPr>
                <w:p>
                  <w:pPr>
                    <w:ind w:firstLine="0" w:firstLineChars="0"/>
                    <w:jc w:val="center"/>
                    <w:rPr>
                      <w:rFonts w:hint="default" w:eastAsia="宋体" w:cs="Times New Roman"/>
                      <w:color w:val="auto"/>
                      <w:lang w:val="en-US" w:eastAsia="zh-CN"/>
                    </w:rPr>
                  </w:pPr>
                  <w:r>
                    <w:rPr>
                      <w:rFonts w:hint="eastAsia" w:cs="Times New Roman"/>
                      <w:color w:val="auto"/>
                      <w:lang w:val="en-US" w:eastAsia="zh-CN"/>
                    </w:rPr>
                    <w:t>82</w:t>
                  </w:r>
                </w:p>
              </w:tc>
              <w:tc>
                <w:tcPr>
                  <w:tcW w:w="1027" w:type="pct"/>
                  <w:shd w:val="clear" w:color="auto" w:fill="auto"/>
                  <w:noWrap w:val="0"/>
                  <w:vAlign w:val="center"/>
                </w:tcPr>
                <w:p>
                  <w:pPr>
                    <w:autoSpaceDE w:val="0"/>
                    <w:autoSpaceDN w:val="0"/>
                    <w:adjustRightInd w:val="0"/>
                    <w:ind w:firstLine="0" w:firstLineChars="0"/>
                    <w:jc w:val="both"/>
                    <w:rPr>
                      <w:rFonts w:hint="default" w:eastAsia="宋体" w:cs="Times New Roman"/>
                      <w:color w:val="auto"/>
                      <w:kern w:val="0"/>
                      <w:lang w:val="en-US" w:eastAsia="zh-CN"/>
                    </w:rPr>
                  </w:pPr>
                  <w:r>
                    <w:rPr>
                      <w:rFonts w:hint="eastAsia" w:cs="Times New Roman"/>
                      <w:color w:val="auto"/>
                      <w:kern w:val="0"/>
                      <w:lang w:val="en-US" w:eastAsia="zh-CN"/>
                    </w:rPr>
                    <w:t>铸造及其他金属制品制造339</w:t>
                  </w:r>
                </w:p>
              </w:tc>
              <w:tc>
                <w:tcPr>
                  <w:tcW w:w="1532" w:type="pct"/>
                  <w:shd w:val="clear" w:color="auto" w:fill="auto"/>
                  <w:noWrap w:val="0"/>
                  <w:vAlign w:val="center"/>
                </w:tcPr>
                <w:p>
                  <w:pPr>
                    <w:keepNext w:val="0"/>
                    <w:keepLines w:val="0"/>
                    <w:widowControl/>
                    <w:suppressLineNumbers w:val="0"/>
                    <w:jc w:val="left"/>
                    <w:rPr>
                      <w:rFonts w:hint="default" w:eastAsia="宋体" w:cs="Times New Roman"/>
                      <w:color w:val="auto"/>
                      <w:lang w:val="en-US" w:eastAsia="zh-CN"/>
                    </w:rPr>
                  </w:pPr>
                  <w:r>
                    <w:rPr>
                      <w:rFonts w:hint="eastAsia" w:cs="Times New Roman"/>
                      <w:color w:val="auto"/>
                      <w:lang w:val="en-US" w:eastAsia="zh-CN"/>
                    </w:rPr>
                    <w:t>黑色金属铸造3391（使用冲天炉），有色金属铸造3392（生产铅基及铅青铜铸件的）</w:t>
                  </w:r>
                </w:p>
              </w:tc>
              <w:tc>
                <w:tcPr>
                  <w:tcW w:w="1183" w:type="pct"/>
                  <w:shd w:val="clear" w:color="auto" w:fill="D7D7D7" w:themeFill="background1" w:themeFillShade="D8"/>
                  <w:noWrap w:val="0"/>
                  <w:vAlign w:val="center"/>
                </w:tcPr>
                <w:p>
                  <w:pPr>
                    <w:autoSpaceDE w:val="0"/>
                    <w:autoSpaceDN w:val="0"/>
                    <w:adjustRightInd w:val="0"/>
                    <w:ind w:firstLine="0" w:firstLineChars="0"/>
                    <w:jc w:val="both"/>
                    <w:rPr>
                      <w:rFonts w:hint="default" w:eastAsia="宋体" w:cs="Times New Roman"/>
                      <w:color w:val="auto"/>
                      <w:kern w:val="0"/>
                      <w:lang w:val="en-US" w:eastAsia="zh-CN"/>
                    </w:rPr>
                  </w:pPr>
                  <w:r>
                    <w:rPr>
                      <w:rFonts w:hint="eastAsia" w:cs="Times New Roman"/>
                      <w:color w:val="auto"/>
                      <w:kern w:val="0"/>
                      <w:lang w:val="en-US" w:eastAsia="zh-CN"/>
                    </w:rPr>
                    <w:t>除重点管理以外的</w:t>
                  </w:r>
                  <w:r>
                    <w:rPr>
                      <w:rFonts w:hint="eastAsia" w:cs="Times New Roman"/>
                      <w:color w:val="auto"/>
                      <w:lang w:val="en-US" w:eastAsia="zh-CN"/>
                    </w:rPr>
                    <w:t>黑色金属铸造3391、有色金属铸造3392</w:t>
                  </w:r>
                </w:p>
              </w:tc>
              <w:tc>
                <w:tcPr>
                  <w:tcW w:w="823" w:type="pct"/>
                  <w:shd w:val="clear" w:color="auto" w:fill="auto"/>
                  <w:noWrap w:val="0"/>
                  <w:vAlign w:val="center"/>
                </w:tcPr>
                <w:p>
                  <w:pPr>
                    <w:ind w:firstLine="0" w:firstLineChars="0"/>
                    <w:jc w:val="center"/>
                    <w:rPr>
                      <w:rFonts w:hint="eastAsia" w:eastAsia="宋体" w:cs="Times New Roman"/>
                      <w:color w:val="auto"/>
                      <w:lang w:eastAsia="zh-CN"/>
                    </w:rPr>
                  </w:pPr>
                  <w:r>
                    <w:rPr>
                      <w:rFonts w:hint="eastAsia" w:hAnsi="宋体" w:cs="Times New Roman"/>
                      <w:color w:val="auto"/>
                      <w:lang w:val="en-US" w:eastAsia="zh-CN"/>
                    </w:rPr>
                    <w:t>/</w:t>
                  </w:r>
                </w:p>
              </w:tc>
            </w:tr>
          </w:tbl>
          <w:p>
            <w:pPr>
              <w:pStyle w:val="41"/>
              <w:bidi w:val="0"/>
              <w:rPr>
                <w:rFonts w:hint="eastAsia"/>
                <w:lang w:val="en-US" w:eastAsia="zh-CN"/>
              </w:rPr>
            </w:pPr>
          </w:p>
          <w:p>
            <w:pPr>
              <w:pStyle w:val="41"/>
              <w:bidi w:val="0"/>
              <w:rPr>
                <w:rFonts w:hint="eastAsia"/>
                <w:lang w:val="en-US" w:eastAsia="zh-CN"/>
              </w:rPr>
            </w:pPr>
          </w:p>
          <w:p>
            <w:pPr>
              <w:pStyle w:val="82"/>
              <w:bidi w:val="0"/>
              <w:spacing w:line="240" w:lineRule="auto"/>
              <w:rPr>
                <w:rFonts w:hint="eastAsia"/>
                <w:lang w:val="en-US" w:eastAsia="zh-CN"/>
              </w:rPr>
            </w:pPr>
          </w:p>
          <w:p>
            <w:pPr>
              <w:pStyle w:val="82"/>
              <w:bidi w:val="0"/>
              <w:spacing w:line="240" w:lineRule="auto"/>
              <w:rPr>
                <w:rFonts w:hint="eastAsia"/>
                <w:lang w:val="en-US" w:eastAsia="zh-CN"/>
              </w:rPr>
            </w:pPr>
          </w:p>
          <w:p>
            <w:pPr>
              <w:pStyle w:val="82"/>
              <w:bidi w:val="0"/>
              <w:spacing w:line="240" w:lineRule="auto"/>
              <w:rPr>
                <w:rFonts w:hint="eastAsia"/>
                <w:lang w:val="en-US" w:eastAsia="zh-CN"/>
              </w:rPr>
            </w:pPr>
          </w:p>
          <w:p>
            <w:pPr>
              <w:pStyle w:val="82"/>
              <w:bidi w:val="0"/>
              <w:spacing w:line="240" w:lineRule="auto"/>
              <w:rPr>
                <w:rFonts w:hint="eastAsia"/>
                <w:lang w:val="en-US" w:eastAsia="zh-CN"/>
              </w:rPr>
            </w:pPr>
          </w:p>
          <w:p>
            <w:pPr>
              <w:spacing w:line="360" w:lineRule="auto"/>
              <w:rPr>
                <w:rFonts w:ascii="宋体" w:hAnsi="宋体" w:cs="宋体"/>
                <w:bCs/>
                <w:sz w:val="24"/>
                <w:szCs w:val="24"/>
              </w:rPr>
            </w:pPr>
          </w:p>
        </w:tc>
      </w:tr>
    </w:tbl>
    <w:p>
      <w:pPr>
        <w:pStyle w:val="44"/>
        <w:sectPr>
          <w:pgSz w:w="11906" w:h="16838"/>
          <w:pgMar w:top="1701" w:right="1531" w:bottom="1701" w:left="1531" w:header="851" w:footer="850" w:gutter="0"/>
          <w:pgBorders>
            <w:top w:val="none" w:sz="0" w:space="0"/>
            <w:left w:val="none" w:sz="0" w:space="0"/>
            <w:bottom w:val="none" w:sz="0" w:space="0"/>
            <w:right w:val="none" w:sz="0" w:space="0"/>
          </w:pgBorders>
          <w:pgNumType w:fmt="numberInDash"/>
          <w:cols w:space="720" w:num="1"/>
          <w:rtlGutter w:val="0"/>
          <w:docGrid w:type="lines" w:linePitch="312" w:charSpace="0"/>
        </w:sectPr>
      </w:pP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8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0" w:hRule="atLeast"/>
          <w:jc w:val="center"/>
        </w:trPr>
        <w:tc>
          <w:tcPr>
            <w:tcW w:w="781" w:type="dxa"/>
            <w:noWrap w:val="0"/>
            <w:vAlign w:val="center"/>
          </w:tcPr>
          <w:p>
            <w:pPr>
              <w:pStyle w:val="24"/>
              <w:jc w:val="center"/>
              <w:rPr>
                <w:rFonts w:ascii="黑体" w:hAnsi="黑体" w:eastAsia="黑体"/>
                <w:snapToGrid w:val="0"/>
                <w:sz w:val="24"/>
                <w:szCs w:val="24"/>
                <w:vertAlign w:val="baseline"/>
              </w:rPr>
            </w:pPr>
            <w:r>
              <w:rPr>
                <w:rFonts w:hint="eastAsia" w:cs="宋体"/>
                <w:sz w:val="24"/>
                <w:szCs w:val="24"/>
              </w:rPr>
              <w:t>工艺流程和产排污环节</w:t>
            </w:r>
          </w:p>
        </w:tc>
        <w:tc>
          <w:tcPr>
            <w:tcW w:w="8279" w:type="dxa"/>
            <w:noWrap w:val="0"/>
            <w:vAlign w:val="top"/>
          </w:tcPr>
          <w:p>
            <w:pPr>
              <w:pStyle w:val="72"/>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color w:val="auto"/>
                <w:lang w:val="en-US" w:eastAsia="zh-CN"/>
              </w:rPr>
            </w:pPr>
            <w:r>
              <w:rPr>
                <w:rFonts w:hint="eastAsia"/>
                <w:color w:val="auto"/>
                <w:lang w:val="en-US" w:eastAsia="zh-CN"/>
              </w:rPr>
              <w:t>本项目采用冷芯盒法铸造工艺，具体工艺流程及产排污环节如下。</w:t>
            </w:r>
          </w:p>
          <w:p>
            <w:pPr>
              <w:pStyle w:val="72"/>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color w:val="auto"/>
                <w:lang w:val="en-US" w:eastAsia="zh-CN"/>
              </w:rPr>
            </w:pPr>
            <w:r>
              <w:rPr>
                <w:rFonts w:ascii="宋体" w:hAnsi="宋体" w:eastAsia="宋体" w:cs="宋体"/>
                <w:sz w:val="24"/>
                <w:szCs w:val="24"/>
              </w:rPr>
              <w:drawing>
                <wp:inline distT="0" distB="0" distL="114300" distR="114300">
                  <wp:extent cx="4514850" cy="5000625"/>
                  <wp:effectExtent l="0" t="0" r="0" b="9525"/>
                  <wp:docPr id="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6"/>
                          <pic:cNvPicPr>
                            <a:picLocks noChangeAspect="1"/>
                          </pic:cNvPicPr>
                        </pic:nvPicPr>
                        <pic:blipFill>
                          <a:blip r:embed="rId14"/>
                          <a:stretch>
                            <a:fillRect/>
                          </a:stretch>
                        </pic:blipFill>
                        <pic:spPr>
                          <a:xfrm>
                            <a:off x="0" y="0"/>
                            <a:ext cx="4514850" cy="5000625"/>
                          </a:xfrm>
                          <a:prstGeom prst="rect">
                            <a:avLst/>
                          </a:prstGeom>
                          <a:noFill/>
                          <a:ln w="9525">
                            <a:noFill/>
                          </a:ln>
                        </pic:spPr>
                      </pic:pic>
                    </a:graphicData>
                  </a:graphic>
                </wp:inline>
              </w:drawing>
            </w:r>
          </w:p>
          <w:p>
            <w:pPr>
              <w:pStyle w:val="72"/>
              <w:bidi w:val="0"/>
              <w:spacing w:line="360" w:lineRule="auto"/>
              <w:jc w:val="center"/>
              <w:rPr>
                <w:rFonts w:hint="eastAsia"/>
                <w:b/>
                <w:bCs/>
                <w:color w:val="auto"/>
                <w:lang w:val="en-US" w:eastAsia="zh-CN"/>
              </w:rPr>
            </w:pPr>
            <w:r>
              <w:rPr>
                <w:rFonts w:hint="eastAsia"/>
                <w:b/>
                <w:bCs/>
                <w:color w:val="auto"/>
                <w:lang w:val="en-US" w:eastAsia="zh-CN"/>
              </w:rPr>
              <w:t>图2-2 工艺流程和产排污环节</w:t>
            </w:r>
          </w:p>
          <w:p>
            <w:pPr>
              <w:pStyle w:val="72"/>
              <w:bidi w:val="0"/>
              <w:spacing w:line="360" w:lineRule="auto"/>
              <w:rPr>
                <w:rFonts w:hint="eastAsia"/>
                <w:color w:val="auto"/>
                <w:lang w:val="en-US" w:eastAsia="zh-CN"/>
              </w:rPr>
            </w:pPr>
            <w:r>
              <w:rPr>
                <w:rFonts w:hint="eastAsia"/>
                <w:color w:val="auto"/>
                <w:lang w:val="en-US" w:eastAsia="zh-CN"/>
              </w:rPr>
              <w:t>工艺流程简述：</w:t>
            </w:r>
          </w:p>
          <w:p>
            <w:pPr>
              <w:pStyle w:val="72"/>
              <w:numPr>
                <w:ilvl w:val="0"/>
                <w:numId w:val="0"/>
              </w:numPr>
              <w:bidi w:val="0"/>
              <w:spacing w:line="360" w:lineRule="auto"/>
              <w:rPr>
                <w:rFonts w:hint="eastAsia"/>
                <w:b/>
                <w:bCs/>
                <w:color w:val="auto"/>
                <w:lang w:val="en-US" w:eastAsia="zh-CN"/>
              </w:rPr>
            </w:pPr>
            <w:r>
              <w:rPr>
                <w:rFonts w:hint="eastAsia"/>
                <w:b/>
                <w:bCs/>
                <w:color w:val="auto"/>
                <w:lang w:val="en-US" w:eastAsia="zh-CN"/>
              </w:rPr>
              <w:t>1）制芯</w:t>
            </w:r>
          </w:p>
          <w:p>
            <w:pPr>
              <w:pStyle w:val="72"/>
              <w:bidi w:val="0"/>
              <w:spacing w:line="360" w:lineRule="auto"/>
              <w:rPr>
                <w:rFonts w:hint="eastAsia"/>
                <w:b/>
                <w:bCs/>
                <w:color w:val="auto"/>
                <w:lang w:val="en-US" w:eastAsia="zh-CN"/>
              </w:rPr>
            </w:pPr>
            <w:r>
              <w:rPr>
                <w:rFonts w:hint="eastAsia"/>
                <w:b/>
                <w:bCs/>
                <w:color w:val="auto"/>
                <w:lang w:val="en-US" w:eastAsia="zh-CN"/>
              </w:rPr>
              <w:t>（</w:t>
            </w:r>
            <w:r>
              <w:rPr>
                <w:rFonts w:hint="default"/>
                <w:b/>
                <w:bCs/>
                <w:color w:val="auto"/>
                <w:lang w:val="en-US" w:eastAsia="zh-CN"/>
              </w:rPr>
              <w:t>1</w:t>
            </w:r>
            <w:r>
              <w:rPr>
                <w:rFonts w:hint="eastAsia"/>
                <w:b/>
                <w:bCs/>
                <w:color w:val="auto"/>
                <w:lang w:val="en-US" w:eastAsia="zh-CN"/>
              </w:rPr>
              <w:t xml:space="preserve">）混砂 </w:t>
            </w:r>
          </w:p>
          <w:p>
            <w:pPr>
              <w:pStyle w:val="72"/>
              <w:bidi w:val="0"/>
              <w:spacing w:line="360" w:lineRule="auto"/>
              <w:rPr>
                <w:rFonts w:hint="eastAsia"/>
                <w:color w:val="auto"/>
                <w:lang w:val="en-US" w:eastAsia="zh-CN"/>
              </w:rPr>
            </w:pPr>
            <w:r>
              <w:rPr>
                <w:rFonts w:hint="eastAsia"/>
                <w:color w:val="auto"/>
                <w:lang w:val="en-US" w:eastAsia="zh-CN"/>
              </w:rPr>
              <w:t>本项目采用冷芯盒射砂制芯工艺，冷芯盒法是在室温下通过吹入三乙胺气体使砂芯在芯盒内快速硬化的制芯方案。以酚醛树脂和聚异酸酯作为粘结剂，三乙胺作为固化反应的催化剂。冷芯盒的优点为芯盒无需加热，节约能源。</w:t>
            </w:r>
          </w:p>
          <w:p>
            <w:pPr>
              <w:pStyle w:val="72"/>
              <w:bidi w:val="0"/>
              <w:spacing w:line="360" w:lineRule="auto"/>
              <w:rPr>
                <w:rFonts w:hint="eastAsia"/>
                <w:color w:val="auto"/>
                <w:lang w:val="en-US" w:eastAsia="zh-CN"/>
              </w:rPr>
            </w:pPr>
            <w:r>
              <w:rPr>
                <w:rFonts w:hint="eastAsia"/>
                <w:color w:val="auto"/>
                <w:lang w:val="en-US" w:eastAsia="zh-CN"/>
              </w:rPr>
              <w:t xml:space="preserve">通过提升机将砂处理后的旧砂、新砂、膨润土送入混砂机，通过泵将树脂及固化剂按1:1比例注入，使树脂和固化剂均匀地包覆在砂粒表面。混砂时间约在2min，混砂过程全封闭。 </w:t>
            </w:r>
          </w:p>
          <w:p>
            <w:pPr>
              <w:pStyle w:val="72"/>
              <w:bidi w:val="0"/>
              <w:spacing w:line="360" w:lineRule="auto"/>
              <w:rPr>
                <w:rFonts w:hint="eastAsia"/>
                <w:b/>
                <w:bCs/>
                <w:color w:val="auto"/>
                <w:lang w:val="en-US" w:eastAsia="zh-CN"/>
              </w:rPr>
            </w:pPr>
            <w:r>
              <w:rPr>
                <w:rFonts w:hint="eastAsia"/>
                <w:b/>
                <w:bCs/>
                <w:color w:val="auto"/>
                <w:lang w:val="en-US" w:eastAsia="zh-CN"/>
              </w:rPr>
              <w:t>（</w:t>
            </w:r>
            <w:r>
              <w:rPr>
                <w:rFonts w:hint="default"/>
                <w:b/>
                <w:bCs/>
                <w:color w:val="auto"/>
                <w:lang w:val="en-US" w:eastAsia="zh-CN"/>
              </w:rPr>
              <w:t>2</w:t>
            </w:r>
            <w:r>
              <w:rPr>
                <w:rFonts w:hint="eastAsia"/>
                <w:b/>
                <w:bCs/>
                <w:color w:val="auto"/>
                <w:lang w:val="en-US" w:eastAsia="zh-CN"/>
              </w:rPr>
              <w:t xml:space="preserve">）制芯 </w:t>
            </w:r>
          </w:p>
          <w:p>
            <w:pPr>
              <w:pStyle w:val="72"/>
              <w:bidi w:val="0"/>
              <w:spacing w:line="360" w:lineRule="auto"/>
              <w:rPr>
                <w:rFonts w:hint="eastAsia"/>
                <w:color w:val="auto"/>
                <w:lang w:val="en-US" w:eastAsia="zh-CN"/>
              </w:rPr>
            </w:pPr>
            <w:r>
              <w:rPr>
                <w:rFonts w:hint="eastAsia"/>
                <w:color w:val="auto"/>
                <w:lang w:val="en-US" w:eastAsia="zh-CN"/>
              </w:rPr>
              <w:t xml:space="preserve">通过制芯机的射砂系统将混合好的混合料射入芯盒内，由制芯机吹气系统将三乙胺气化后以干燥的压缩空气为载体通过密闭管线吹入芯盒，使砂粒表面的酚醛树脂中的羟基和聚异氰酸酯中的异氰酸根经胺催化结合生成氨基甲酸乙酯，使砂芯迅速固化。吹胺固化后的砂芯停留几秒后，向砂芯盒吹入压缩空气进行洗涤，以去除砂芯及管道系统中的三乙胺。清洗后即可开盒取出砂型（芯）。由于酚醛树脂中游离的苯酚等单体在常温下比较稳定，故 </w:t>
            </w:r>
            <w:r>
              <w:rPr>
                <w:rFonts w:hint="eastAsia"/>
                <w:b/>
                <w:bCs/>
                <w:color w:val="auto"/>
                <w:lang w:val="en-US" w:eastAsia="zh-CN"/>
              </w:rPr>
              <w:t xml:space="preserve">此过程主要产生冷芯盒射芯废气，主要污染物为三乙胺； </w:t>
            </w:r>
          </w:p>
          <w:p>
            <w:pPr>
              <w:pStyle w:val="72"/>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color w:val="auto"/>
                <w:lang w:val="en-US" w:eastAsia="zh-CN"/>
              </w:rPr>
            </w:pPr>
            <w:r>
              <w:rPr>
                <w:rFonts w:hint="eastAsia"/>
                <w:color w:val="auto"/>
                <w:lang w:val="en-US" w:eastAsia="zh-CN"/>
              </w:rPr>
              <w:t>射砂压力：0.35~0.5MPa；</w:t>
            </w:r>
          </w:p>
          <w:p>
            <w:pPr>
              <w:pStyle w:val="72"/>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color w:val="auto"/>
                <w:lang w:val="en-US" w:eastAsia="zh-CN"/>
              </w:rPr>
            </w:pPr>
            <w:r>
              <w:rPr>
                <w:rFonts w:hint="eastAsia"/>
                <w:color w:val="auto"/>
                <w:lang w:val="en-US" w:eastAsia="zh-CN"/>
              </w:rPr>
              <w:t>吹胺及净化压力：0.2~0.3MPa；</w:t>
            </w:r>
          </w:p>
          <w:p>
            <w:pPr>
              <w:pStyle w:val="72"/>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color w:val="auto"/>
                <w:lang w:val="en-US" w:eastAsia="zh-CN"/>
              </w:rPr>
            </w:pPr>
            <w:r>
              <w:rPr>
                <w:rFonts w:hint="eastAsia"/>
                <w:color w:val="auto"/>
                <w:lang w:val="en-US" w:eastAsia="zh-CN"/>
              </w:rPr>
              <w:t>吹胺压力上升时间：5~10s；</w:t>
            </w:r>
          </w:p>
          <w:p>
            <w:pPr>
              <w:pStyle w:val="72"/>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color w:val="auto"/>
                <w:lang w:val="en-US" w:eastAsia="zh-CN"/>
              </w:rPr>
            </w:pPr>
            <w:r>
              <w:rPr>
                <w:rFonts w:hint="eastAsia"/>
                <w:color w:val="auto"/>
                <w:lang w:val="en-US" w:eastAsia="zh-CN"/>
              </w:rPr>
              <w:t>吹胺时间：2~10s</w:t>
            </w:r>
          </w:p>
          <w:p>
            <w:pPr>
              <w:pStyle w:val="72"/>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color w:val="auto"/>
                <w:lang w:val="en-US" w:eastAsia="zh-CN"/>
              </w:rPr>
            </w:pPr>
            <w:r>
              <w:rPr>
                <w:rFonts w:hint="eastAsia"/>
                <w:color w:val="auto"/>
                <w:lang w:val="en-US" w:eastAsia="zh-CN"/>
              </w:rPr>
              <w:t>净化时间：10~60S</w:t>
            </w:r>
          </w:p>
          <w:p>
            <w:pPr>
              <w:pStyle w:val="72"/>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color w:val="auto"/>
                <w:lang w:val="en-US" w:eastAsia="zh-CN"/>
              </w:rPr>
            </w:pPr>
            <w:r>
              <w:rPr>
                <w:rFonts w:hint="eastAsia"/>
                <w:color w:val="auto"/>
                <w:lang w:val="en-US" w:eastAsia="zh-CN"/>
              </w:rPr>
              <w:t>冷芯盒工艺的固化原理是酚醛树脂中的羟甲基（</w:t>
            </w:r>
            <w:r>
              <w:rPr>
                <w:rFonts w:hint="default"/>
                <w:color w:val="auto"/>
                <w:lang w:val="en-US" w:eastAsia="zh-CN"/>
              </w:rPr>
              <w:t>-CH</w:t>
            </w:r>
            <w:r>
              <w:rPr>
                <w:rFonts w:hint="default"/>
                <w:color w:val="auto"/>
                <w:vertAlign w:val="subscript"/>
                <w:lang w:val="en-US" w:eastAsia="zh-CN"/>
              </w:rPr>
              <w:t>2</w:t>
            </w:r>
            <w:r>
              <w:rPr>
                <w:rFonts w:hint="default"/>
                <w:color w:val="auto"/>
                <w:lang w:val="en-US" w:eastAsia="zh-CN"/>
              </w:rPr>
              <w:t>OH</w:t>
            </w:r>
            <w:r>
              <w:rPr>
                <w:rFonts w:hint="eastAsia"/>
                <w:color w:val="auto"/>
                <w:lang w:val="en-US" w:eastAsia="zh-CN"/>
              </w:rPr>
              <w:t>）和聚异氰酸酯中的（</w:t>
            </w:r>
            <w:r>
              <w:rPr>
                <w:rFonts w:hint="default"/>
                <w:color w:val="auto"/>
                <w:lang w:val="en-US" w:eastAsia="zh-CN"/>
              </w:rPr>
              <w:t>-N=C=O</w:t>
            </w:r>
            <w:r>
              <w:rPr>
                <w:rFonts w:hint="eastAsia"/>
                <w:color w:val="auto"/>
                <w:lang w:val="en-US" w:eastAsia="zh-CN"/>
              </w:rPr>
              <w:t>）基团在三乙胺的催化作用下，数秒内反应生成固态的尿烷树脂。</w:t>
            </w:r>
          </w:p>
          <w:p>
            <w:pPr>
              <w:pStyle w:val="72"/>
              <w:bidi w:val="0"/>
              <w:spacing w:line="360" w:lineRule="auto"/>
              <w:rPr>
                <w:rFonts w:hint="eastAsia"/>
                <w:b/>
                <w:bCs/>
                <w:color w:val="auto"/>
                <w:lang w:val="en-US" w:eastAsia="zh-CN"/>
              </w:rPr>
            </w:pPr>
            <w:r>
              <w:rPr>
                <w:rFonts w:hint="eastAsia"/>
                <w:b/>
                <w:bCs/>
                <w:color w:val="auto"/>
                <w:lang w:val="en-US" w:eastAsia="zh-CN"/>
              </w:rPr>
              <w:t xml:space="preserve">2）金属熔炼铸单元 </w:t>
            </w:r>
          </w:p>
          <w:p>
            <w:pPr>
              <w:pStyle w:val="72"/>
              <w:bidi w:val="0"/>
              <w:spacing w:line="360" w:lineRule="auto"/>
              <w:rPr>
                <w:rFonts w:hint="default"/>
                <w:b/>
                <w:bCs/>
                <w:color w:val="auto"/>
                <w:lang w:val="en-US" w:eastAsia="zh-CN"/>
              </w:rPr>
            </w:pPr>
            <w:r>
              <w:rPr>
                <w:rFonts w:hint="eastAsia"/>
                <w:b/>
                <w:bCs/>
                <w:color w:val="auto"/>
                <w:lang w:val="en-US" w:eastAsia="zh-CN"/>
              </w:rPr>
              <w:t>（1）熔炼</w:t>
            </w:r>
          </w:p>
          <w:p>
            <w:pPr>
              <w:pStyle w:val="72"/>
              <w:bidi w:val="0"/>
              <w:spacing w:line="360" w:lineRule="auto"/>
              <w:rPr>
                <w:rFonts w:hint="eastAsia"/>
                <w:color w:val="auto"/>
                <w:lang w:val="en-US" w:eastAsia="zh-CN"/>
              </w:rPr>
            </w:pPr>
            <w:r>
              <w:rPr>
                <w:rFonts w:hint="eastAsia"/>
                <w:color w:val="auto"/>
                <w:lang w:val="en-US" w:eastAsia="zh-CN"/>
              </w:rPr>
              <w:t xml:space="preserve">将生铁、硅铁、增碳剂投入中频电炉内熔化，设定温度 </w:t>
            </w:r>
            <w:r>
              <w:rPr>
                <w:rFonts w:hint="default"/>
                <w:color w:val="auto"/>
                <w:lang w:val="en-US" w:eastAsia="zh-CN"/>
              </w:rPr>
              <w:t>1700</w:t>
            </w:r>
            <w:r>
              <w:rPr>
                <w:rFonts w:hint="eastAsia"/>
                <w:color w:val="auto"/>
                <w:lang w:val="en-US" w:eastAsia="zh-CN"/>
              </w:rPr>
              <w:t>℃。此过程会产生熔炼废气，主要污染物为颗粒物、熔炼废渣；</w:t>
            </w:r>
          </w:p>
          <w:p>
            <w:pPr>
              <w:pStyle w:val="72"/>
              <w:bidi w:val="0"/>
              <w:spacing w:line="360" w:lineRule="auto"/>
              <w:rPr>
                <w:rFonts w:hint="eastAsia"/>
                <w:b/>
                <w:bCs/>
                <w:color w:val="auto"/>
                <w:lang w:val="en-US" w:eastAsia="zh-CN"/>
              </w:rPr>
            </w:pPr>
            <w:r>
              <w:rPr>
                <w:rFonts w:hint="eastAsia"/>
                <w:b/>
                <w:bCs/>
                <w:color w:val="auto"/>
                <w:lang w:val="en-US" w:eastAsia="zh-CN"/>
              </w:rPr>
              <w:t xml:space="preserve">（2）浇注、冷却 </w:t>
            </w:r>
          </w:p>
          <w:p>
            <w:pPr>
              <w:pStyle w:val="72"/>
              <w:bidi w:val="0"/>
              <w:spacing w:line="360" w:lineRule="auto"/>
              <w:rPr>
                <w:rFonts w:hint="eastAsia"/>
                <w:color w:val="auto"/>
                <w:lang w:val="en-US" w:eastAsia="zh-CN"/>
              </w:rPr>
            </w:pPr>
            <w:r>
              <w:rPr>
                <w:rFonts w:hint="eastAsia"/>
                <w:color w:val="auto"/>
                <w:lang w:val="en-US" w:eastAsia="zh-CN"/>
              </w:rPr>
              <w:t xml:space="preserve">本项目采用人工浇注方式，将铁水包运至浇注区域，通过砂型上方的冒口将铁水浇注至砂型内，砂型在浇注完成后自然冷却。浇注过程会产生含尘浇注废气，主要污染物为颗粒物； </w:t>
            </w:r>
          </w:p>
          <w:p>
            <w:pPr>
              <w:pStyle w:val="72"/>
              <w:bidi w:val="0"/>
              <w:spacing w:line="360" w:lineRule="auto"/>
              <w:rPr>
                <w:rFonts w:hint="default"/>
                <w:b/>
                <w:bCs/>
                <w:color w:val="auto"/>
                <w:lang w:val="en-US" w:eastAsia="zh-CN"/>
              </w:rPr>
            </w:pPr>
            <w:r>
              <w:rPr>
                <w:rFonts w:hint="eastAsia"/>
                <w:b/>
                <w:bCs/>
                <w:color w:val="auto"/>
                <w:lang w:val="en-US" w:eastAsia="zh-CN"/>
              </w:rPr>
              <w:t>3）砂处理及旧砂再生</w:t>
            </w:r>
          </w:p>
          <w:p>
            <w:pPr>
              <w:pStyle w:val="72"/>
              <w:bidi w:val="0"/>
              <w:spacing w:line="360" w:lineRule="auto"/>
              <w:rPr>
                <w:rFonts w:hint="eastAsia"/>
                <w:b/>
                <w:bCs/>
                <w:color w:val="auto"/>
                <w:lang w:val="en-US" w:eastAsia="zh-CN"/>
              </w:rPr>
            </w:pPr>
            <w:r>
              <w:rPr>
                <w:rFonts w:hint="eastAsia"/>
                <w:b/>
                <w:bCs/>
                <w:color w:val="auto"/>
                <w:lang w:val="en-US" w:eastAsia="zh-CN"/>
              </w:rPr>
              <w:t xml:space="preserve">（1）落砂 </w:t>
            </w:r>
          </w:p>
          <w:p>
            <w:pPr>
              <w:pStyle w:val="72"/>
              <w:bidi w:val="0"/>
              <w:spacing w:line="360" w:lineRule="auto"/>
              <w:rPr>
                <w:rFonts w:hint="eastAsia"/>
                <w:color w:val="auto"/>
                <w:lang w:val="en-US" w:eastAsia="zh-CN"/>
              </w:rPr>
            </w:pPr>
            <w:r>
              <w:rPr>
                <w:rFonts w:hint="eastAsia"/>
                <w:color w:val="auto"/>
                <w:lang w:val="en-US" w:eastAsia="zh-CN"/>
              </w:rPr>
              <w:t xml:space="preserve">砂型冷却后，采用人工方法使铸件与芯砂分离。经击芯后，将砂子排放到位于砂处理系统下方，经全封闭的输送带上输送到砂处理系统内。 </w:t>
            </w:r>
          </w:p>
          <w:p>
            <w:pPr>
              <w:pStyle w:val="72"/>
              <w:bidi w:val="0"/>
              <w:spacing w:line="360" w:lineRule="auto"/>
              <w:rPr>
                <w:rFonts w:hint="eastAsia"/>
                <w:b/>
                <w:bCs/>
                <w:color w:val="auto"/>
                <w:lang w:val="en-US" w:eastAsia="zh-CN"/>
              </w:rPr>
            </w:pPr>
            <w:r>
              <w:rPr>
                <w:rFonts w:hint="eastAsia"/>
                <w:b/>
                <w:bCs/>
                <w:color w:val="auto"/>
                <w:lang w:val="en-US" w:eastAsia="zh-CN"/>
              </w:rPr>
              <w:t xml:space="preserve">（2）砂处理 </w:t>
            </w:r>
          </w:p>
          <w:p>
            <w:pPr>
              <w:pStyle w:val="72"/>
              <w:bidi w:val="0"/>
              <w:spacing w:line="360" w:lineRule="auto"/>
              <w:rPr>
                <w:rFonts w:hint="eastAsia"/>
                <w:color w:val="auto"/>
                <w:lang w:val="en-US" w:eastAsia="zh-CN"/>
              </w:rPr>
            </w:pPr>
            <w:r>
              <w:rPr>
                <w:rFonts w:hint="eastAsia"/>
                <w:color w:val="auto"/>
                <w:lang w:val="en-US" w:eastAsia="zh-CN"/>
              </w:rPr>
              <w:t>砂处理系统主要包括旧砂的磁选、筛分，该套系统为密闭线。磁选、筛分出的铁块回用生产。</w:t>
            </w:r>
          </w:p>
          <w:p>
            <w:pPr>
              <w:pStyle w:val="72"/>
              <w:bidi w:val="0"/>
              <w:spacing w:line="360" w:lineRule="auto"/>
              <w:rPr>
                <w:rFonts w:hint="eastAsia"/>
                <w:color w:val="auto"/>
                <w:lang w:val="en-US" w:eastAsia="zh-CN"/>
              </w:rPr>
            </w:pPr>
            <w:r>
              <w:rPr>
                <w:rFonts w:hint="eastAsia"/>
                <w:color w:val="auto"/>
                <w:lang w:val="en-US" w:eastAsia="zh-CN"/>
              </w:rPr>
              <w:t>砂处理过程会产生砂处理废气，主要污染物为颗粒物；会产生固体废物废砂。</w:t>
            </w:r>
          </w:p>
          <w:p>
            <w:pPr>
              <w:pStyle w:val="72"/>
              <w:bidi w:val="0"/>
              <w:spacing w:line="360" w:lineRule="auto"/>
              <w:rPr>
                <w:rFonts w:hint="eastAsia"/>
                <w:b/>
                <w:bCs/>
                <w:color w:val="auto"/>
                <w:lang w:val="en-US" w:eastAsia="zh-CN"/>
              </w:rPr>
            </w:pPr>
            <w:r>
              <w:rPr>
                <w:rFonts w:hint="eastAsia"/>
                <w:b/>
                <w:bCs/>
                <w:color w:val="auto"/>
                <w:lang w:val="en-US" w:eastAsia="zh-CN"/>
              </w:rPr>
              <w:t xml:space="preserve">4）抛丸清理 </w:t>
            </w:r>
          </w:p>
          <w:p>
            <w:pPr>
              <w:pStyle w:val="72"/>
              <w:bidi w:val="0"/>
              <w:spacing w:line="360" w:lineRule="auto"/>
              <w:rPr>
                <w:rFonts w:hint="eastAsia"/>
                <w:color w:val="0000FF"/>
                <w:lang w:val="en-US" w:eastAsia="zh-CN"/>
              </w:rPr>
            </w:pPr>
            <w:r>
              <w:rPr>
                <w:rFonts w:hint="eastAsia"/>
                <w:color w:val="auto"/>
                <w:lang w:val="en-US" w:eastAsia="zh-CN"/>
              </w:rPr>
              <w:t>将毛坯铸件运至铸件抛丸清理机中密闭抛丸处理，在铸件抛丸清理机内将钢丸喷射至铸件表面，对铸件表面进行清理，使其表面光滑。抛丸清理过程中会产生抛丸废气，主要污染物为颗粒物。会产生固体废物废抛丸；</w:t>
            </w:r>
            <w:r>
              <w:rPr>
                <w:rFonts w:hint="eastAsia"/>
                <w:color w:val="0000FF"/>
                <w:lang w:val="en-US" w:eastAsia="zh-CN"/>
              </w:rPr>
              <w:t xml:space="preserve"> </w:t>
            </w:r>
          </w:p>
          <w:p>
            <w:pPr>
              <w:pStyle w:val="72"/>
              <w:bidi w:val="0"/>
              <w:spacing w:line="360" w:lineRule="auto"/>
              <w:rPr>
                <w:rFonts w:hint="eastAsia"/>
                <w:color w:val="auto"/>
                <w:lang w:val="en-US" w:eastAsia="zh-CN"/>
              </w:rPr>
            </w:pPr>
            <w:r>
              <w:rPr>
                <w:rFonts w:hint="eastAsia"/>
                <w:color w:val="auto"/>
                <w:lang w:val="en-US" w:eastAsia="zh-CN"/>
              </w:rPr>
              <w:t>本项目污染物产生环节及拟采取的治理措施如下表所示。</w:t>
            </w:r>
          </w:p>
          <w:p>
            <w:pPr>
              <w:spacing w:before="145" w:line="214" w:lineRule="auto"/>
              <w:jc w:val="center"/>
              <w:rPr>
                <w:rFonts w:ascii="宋体" w:hAnsi="宋体" w:eastAsia="宋体" w:cs="宋体"/>
                <w:sz w:val="24"/>
                <w:szCs w:val="24"/>
              </w:rPr>
            </w:pPr>
            <w:r>
              <w:rPr>
                <w:rFonts w:ascii="宋体" w:hAnsi="宋体" w:eastAsia="宋体" w:cs="宋体"/>
                <w:sz w:val="24"/>
                <w:szCs w:val="24"/>
                <w14:textOutline w14:w="4356" w14:cap="flat" w14:cmpd="sng">
                  <w14:solidFill>
                    <w14:srgbClr w14:val="000000"/>
                  </w14:solidFill>
                  <w14:prstDash w14:val="solid"/>
                  <w14:miter w14:val="0"/>
                </w14:textOutline>
              </w:rPr>
              <w:t>表</w:t>
            </w:r>
            <w:r>
              <w:rPr>
                <w:rFonts w:ascii="Times New Roman" w:hAnsi="Times New Roman" w:eastAsia="Times New Roman" w:cs="Times New Roman"/>
                <w:b/>
                <w:bCs/>
                <w:sz w:val="24"/>
                <w:szCs w:val="24"/>
              </w:rPr>
              <w:t>2-</w:t>
            </w:r>
            <w:r>
              <w:rPr>
                <w:rFonts w:hint="eastAsia" w:eastAsia="宋体" w:cs="Times New Roman"/>
                <w:b/>
                <w:bCs/>
                <w:sz w:val="24"/>
                <w:szCs w:val="24"/>
                <w:lang w:val="en-US" w:eastAsia="zh-CN"/>
              </w:rPr>
              <w:t>9</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6" w14:cap="flat" w14:cmpd="sng">
                  <w14:solidFill>
                    <w14:srgbClr w14:val="000000"/>
                  </w14:solidFill>
                  <w14:prstDash w14:val="solid"/>
                  <w14:miter w14:val="0"/>
                </w14:textOutline>
              </w:rPr>
              <w:t>主要污染物及产生工序一览表</w:t>
            </w:r>
          </w:p>
          <w:tbl>
            <w:tblPr>
              <w:tblStyle w:val="95"/>
              <w:tblW w:w="499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
              <w:gridCol w:w="1014"/>
              <w:gridCol w:w="1204"/>
              <w:gridCol w:w="1948"/>
              <w:gridCol w:w="30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847" w:type="dxa"/>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Arial"/>
                      <w:sz w:val="21"/>
                    </w:rPr>
                  </w:pPr>
                  <w:r>
                    <w:rPr>
                      <w:rFonts w:ascii="Arial"/>
                      <w:sz w:val="21"/>
                    </w:rPr>
                    <w:t>项 目</w:t>
                  </w:r>
                </w:p>
              </w:tc>
              <w:tc>
                <w:tcPr>
                  <w:tcW w:w="1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Arial" w:hAnsi="Times New Roman" w:eastAsia="宋体" w:cs="Times New Roman"/>
                      <w:kern w:val="2"/>
                      <w:sz w:val="21"/>
                      <w:szCs w:val="24"/>
                      <w:lang w:val="en-US" w:eastAsia="zh-CN" w:bidi="ar-SA"/>
                    </w:rPr>
                  </w:pPr>
                  <w:r>
                    <w:rPr>
                      <w:rFonts w:hint="eastAsia" w:ascii="Arial" w:cs="Times New Roman"/>
                      <w:kern w:val="2"/>
                      <w:sz w:val="21"/>
                      <w:szCs w:val="24"/>
                      <w:lang w:val="en-US" w:eastAsia="zh-CN" w:bidi="ar-SA"/>
                    </w:rPr>
                    <w:t>污染源名称</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Arial"/>
                      <w:sz w:val="21"/>
                    </w:rPr>
                  </w:pPr>
                  <w:r>
                    <w:rPr>
                      <w:rFonts w:hint="eastAsia" w:ascii="Arial"/>
                      <w:sz w:val="21"/>
                      <w:lang w:val="en-US" w:eastAsia="zh-CN"/>
                    </w:rPr>
                    <w:t>污染源设备</w:t>
                  </w:r>
                </w:p>
              </w:tc>
              <w:tc>
                <w:tcPr>
                  <w:tcW w:w="19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Arial"/>
                      <w:sz w:val="21"/>
                    </w:rPr>
                  </w:pPr>
                  <w:r>
                    <w:rPr>
                      <w:rFonts w:ascii="Arial"/>
                      <w:sz w:val="21"/>
                    </w:rPr>
                    <w:t xml:space="preserve">主要污染物 </w:t>
                  </w:r>
                </w:p>
              </w:tc>
              <w:tc>
                <w:tcPr>
                  <w:tcW w:w="30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Arial" w:eastAsia="宋体"/>
                      <w:sz w:val="21"/>
                      <w:lang w:val="en-US" w:eastAsia="zh-CN"/>
                    </w:rPr>
                  </w:pPr>
                  <w:r>
                    <w:rPr>
                      <w:rFonts w:hint="eastAsia" w:ascii="Arial"/>
                      <w:sz w:val="21"/>
                      <w:lang w:val="en-US" w:eastAsia="zh-CN"/>
                    </w:rPr>
                    <w:t>治理措施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47" w:type="dxa"/>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Arial"/>
                      <w:sz w:val="21"/>
                    </w:rPr>
                  </w:pPr>
                  <w:r>
                    <w:rPr>
                      <w:rFonts w:ascii="Arial"/>
                      <w:sz w:val="21"/>
                    </w:rPr>
                    <w:t>废 气</w:t>
                  </w:r>
                </w:p>
              </w:tc>
              <w:tc>
                <w:tcPr>
                  <w:tcW w:w="101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熔炼</w:t>
                  </w:r>
                </w:p>
              </w:tc>
              <w:tc>
                <w:tcPr>
                  <w:tcW w:w="120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cs="Times New Roman"/>
                      <w:b w:val="0"/>
                      <w:bCs w:val="0"/>
                      <w:color w:val="auto"/>
                      <w:kern w:val="2"/>
                      <w:sz w:val="21"/>
                      <w:szCs w:val="21"/>
                      <w:vertAlign w:val="baseline"/>
                      <w:lang w:val="en-US" w:eastAsia="zh-CN" w:bidi="ar-SA"/>
                    </w:rPr>
                    <w:t>中频熔炼炉</w:t>
                  </w:r>
                </w:p>
              </w:tc>
              <w:tc>
                <w:tcPr>
                  <w:tcW w:w="1948"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颗粒物</w:t>
                  </w:r>
                </w:p>
              </w:tc>
              <w:tc>
                <w:tcPr>
                  <w:tcW w:w="3029"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both"/>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集气罩+脉冲袋式除尘器+15m 高排气筒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47"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Arial"/>
                      <w:sz w:val="21"/>
                    </w:rPr>
                  </w:pPr>
                </w:p>
              </w:tc>
              <w:tc>
                <w:tcPr>
                  <w:tcW w:w="101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 xml:space="preserve"> 抛丸清理</w:t>
                  </w:r>
                </w:p>
              </w:tc>
              <w:tc>
                <w:tcPr>
                  <w:tcW w:w="120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抛丸清理机</w:t>
                  </w:r>
                </w:p>
              </w:tc>
              <w:tc>
                <w:tcPr>
                  <w:tcW w:w="1948"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颗粒物</w:t>
                  </w:r>
                </w:p>
              </w:tc>
              <w:tc>
                <w:tcPr>
                  <w:tcW w:w="3029"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both"/>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1套布袋除尘器+ 15m 高排气筒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47"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Arial"/>
                      <w:sz w:val="21"/>
                    </w:rPr>
                  </w:pPr>
                </w:p>
              </w:tc>
              <w:tc>
                <w:tcPr>
                  <w:tcW w:w="101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砂处理、浇注工序</w:t>
                  </w:r>
                </w:p>
              </w:tc>
              <w:tc>
                <w:tcPr>
                  <w:tcW w:w="120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混砂机、浇注工段</w:t>
                  </w:r>
                </w:p>
              </w:tc>
              <w:tc>
                <w:tcPr>
                  <w:tcW w:w="1948"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颗粒物</w:t>
                  </w:r>
                </w:p>
              </w:tc>
              <w:tc>
                <w:tcPr>
                  <w:tcW w:w="3029"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both"/>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集气罩+布袋除尘器+15m 高排气筒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47"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Arial"/>
                      <w:sz w:val="21"/>
                    </w:rPr>
                  </w:pPr>
                </w:p>
              </w:tc>
              <w:tc>
                <w:tcPr>
                  <w:tcW w:w="101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制芯</w:t>
                  </w:r>
                </w:p>
              </w:tc>
              <w:tc>
                <w:tcPr>
                  <w:tcW w:w="120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冷芯盒射砂机</w:t>
                  </w:r>
                </w:p>
              </w:tc>
              <w:tc>
                <w:tcPr>
                  <w:tcW w:w="1948"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三乙胺、颗粒物</w:t>
                  </w:r>
                </w:p>
              </w:tc>
              <w:tc>
                <w:tcPr>
                  <w:tcW w:w="3029"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集气罩+滤芯除尘器+磷酸喷淋吸收净化塔+15m高排气筒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47" w:type="dxa"/>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val="0"/>
                    <w:snapToGrid w:val="0"/>
                    <w:spacing w:before="133" w:line="240" w:lineRule="auto"/>
                    <w:ind w:left="303" w:leftChars="0"/>
                    <w:jc w:val="center"/>
                    <w:textAlignment w:val="auto"/>
                    <w:rPr>
                      <w:rFonts w:ascii="宋体" w:hAnsi="宋体" w:eastAsia="宋体" w:cs="宋体"/>
                      <w:kern w:val="2"/>
                      <w:sz w:val="21"/>
                      <w:szCs w:val="21"/>
                      <w:lang w:val="en-US" w:eastAsia="zh-CN" w:bidi="ar-SA"/>
                    </w:rPr>
                  </w:pPr>
                  <w:r>
                    <w:rPr>
                      <w:rFonts w:ascii="宋体" w:hAnsi="宋体" w:eastAsia="宋体" w:cs="宋体"/>
                      <w:spacing w:val="31"/>
                      <w:sz w:val="21"/>
                      <w:szCs w:val="21"/>
                    </w:rPr>
                    <w:t>废水</w:t>
                  </w:r>
                </w:p>
              </w:tc>
              <w:tc>
                <w:tcPr>
                  <w:tcW w:w="101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生活区</w:t>
                  </w:r>
                </w:p>
              </w:tc>
              <w:tc>
                <w:tcPr>
                  <w:tcW w:w="120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生活废水</w:t>
                  </w:r>
                </w:p>
              </w:tc>
              <w:tc>
                <w:tcPr>
                  <w:tcW w:w="1948"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COD、BOD</w:t>
                  </w:r>
                  <w:r>
                    <w:rPr>
                      <w:rFonts w:hint="eastAsia"/>
                      <w:b w:val="0"/>
                      <w:bCs w:val="0"/>
                      <w:color w:val="auto"/>
                      <w:sz w:val="21"/>
                      <w:szCs w:val="21"/>
                      <w:vertAlign w:val="subscript"/>
                      <w:lang w:val="en-US" w:eastAsia="zh-CN"/>
                    </w:rPr>
                    <w:t>5</w:t>
                  </w:r>
                  <w:r>
                    <w:rPr>
                      <w:rFonts w:hint="eastAsia"/>
                      <w:b w:val="0"/>
                      <w:bCs w:val="0"/>
                      <w:color w:val="auto"/>
                      <w:sz w:val="21"/>
                      <w:szCs w:val="21"/>
                      <w:vertAlign w:val="baseline"/>
                      <w:lang w:val="en-US" w:eastAsia="zh-CN"/>
                    </w:rPr>
                    <w:t xml:space="preserve"> 、SS、 氨氮、动植物油</w:t>
                  </w:r>
                </w:p>
              </w:tc>
              <w:tc>
                <w:tcPr>
                  <w:tcW w:w="3029"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经旱厕处理后作为农肥利用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47" w:type="dxa"/>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val="0"/>
                    <w:snapToGrid w:val="0"/>
                    <w:spacing w:before="133" w:line="240" w:lineRule="auto"/>
                    <w:ind w:left="303" w:leftChars="0"/>
                    <w:jc w:val="center"/>
                    <w:textAlignment w:val="auto"/>
                    <w:rPr>
                      <w:rFonts w:hint="eastAsia" w:ascii="宋体" w:hAnsi="宋体" w:eastAsia="宋体" w:cs="宋体"/>
                      <w:spacing w:val="31"/>
                      <w:sz w:val="21"/>
                      <w:szCs w:val="21"/>
                      <w:lang w:val="en-US" w:eastAsia="zh-CN"/>
                    </w:rPr>
                  </w:pPr>
                  <w:r>
                    <w:rPr>
                      <w:rFonts w:hint="eastAsia" w:ascii="宋体" w:hAnsi="宋体" w:cs="宋体"/>
                      <w:spacing w:val="31"/>
                      <w:sz w:val="21"/>
                      <w:szCs w:val="21"/>
                      <w:lang w:val="en-US" w:eastAsia="zh-CN"/>
                    </w:rPr>
                    <w:t>固废</w:t>
                  </w:r>
                </w:p>
              </w:tc>
              <w:tc>
                <w:tcPr>
                  <w:tcW w:w="101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生活垃圾</w:t>
                  </w:r>
                </w:p>
              </w:tc>
              <w:tc>
                <w:tcPr>
                  <w:tcW w:w="120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生活区</w:t>
                  </w:r>
                </w:p>
              </w:tc>
              <w:tc>
                <w:tcPr>
                  <w:tcW w:w="1948"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生活垃圾</w:t>
                  </w:r>
                </w:p>
              </w:tc>
              <w:tc>
                <w:tcPr>
                  <w:tcW w:w="3029"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委托环卫部门处置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47"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val="0"/>
                    <w:snapToGrid w:val="0"/>
                    <w:spacing w:before="133" w:line="240" w:lineRule="auto"/>
                    <w:ind w:left="303" w:leftChars="0"/>
                    <w:jc w:val="center"/>
                    <w:textAlignment w:val="auto"/>
                    <w:rPr>
                      <w:rFonts w:ascii="宋体" w:hAnsi="宋体" w:eastAsia="宋体" w:cs="宋体"/>
                      <w:spacing w:val="31"/>
                      <w:sz w:val="21"/>
                      <w:szCs w:val="21"/>
                    </w:rPr>
                  </w:pPr>
                </w:p>
              </w:tc>
              <w:tc>
                <w:tcPr>
                  <w:tcW w:w="101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砂处理</w:t>
                  </w:r>
                </w:p>
              </w:tc>
              <w:tc>
                <w:tcPr>
                  <w:tcW w:w="120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混砂机</w:t>
                  </w:r>
                </w:p>
              </w:tc>
              <w:tc>
                <w:tcPr>
                  <w:tcW w:w="1948"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废砂</w:t>
                  </w:r>
                </w:p>
              </w:tc>
              <w:tc>
                <w:tcPr>
                  <w:tcW w:w="3029" w:type="dxa"/>
                  <w:vMerge w:val="restart"/>
                  <w:tcBorders>
                    <w:tl2br w:val="nil"/>
                    <w:tr2bl w:val="nil"/>
                  </w:tcBorders>
                  <w:vAlign w:val="center"/>
                </w:tcPr>
                <w:p>
                  <w:pPr>
                    <w:keepNext w:val="0"/>
                    <w:keepLines w:val="0"/>
                    <w:widowControl/>
                    <w:suppressLineNumbers w:val="0"/>
                    <w:spacing w:line="240" w:lineRule="auto"/>
                    <w:jc w:val="center"/>
                  </w:pPr>
                  <w:r>
                    <w:rPr>
                      <w:rFonts w:hint="eastAsia" w:ascii="宋体" w:hAnsi="宋体" w:eastAsia="宋体" w:cs="宋体"/>
                      <w:color w:val="000000"/>
                      <w:kern w:val="0"/>
                      <w:sz w:val="22"/>
                      <w:szCs w:val="22"/>
                      <w:lang w:val="en-US" w:eastAsia="zh-CN" w:bidi="ar"/>
                    </w:rPr>
                    <w:t>收集后暂存于一般固体废物暂</w:t>
                  </w:r>
                </w:p>
                <w:p>
                  <w:pPr>
                    <w:keepNext w:val="0"/>
                    <w:keepLines w:val="0"/>
                    <w:widowControl/>
                    <w:suppressLineNumbers w:val="0"/>
                    <w:spacing w:line="240" w:lineRule="auto"/>
                    <w:jc w:val="center"/>
                    <w:rPr>
                      <w:rFonts w:hint="eastAsia"/>
                      <w:b w:val="0"/>
                      <w:bCs w:val="0"/>
                      <w:color w:val="auto"/>
                      <w:sz w:val="21"/>
                      <w:szCs w:val="21"/>
                      <w:vertAlign w:val="baseline"/>
                      <w:lang w:val="en-US" w:eastAsia="zh-CN"/>
                    </w:rPr>
                  </w:pPr>
                  <w:r>
                    <w:rPr>
                      <w:rFonts w:hint="eastAsia" w:ascii="宋体" w:hAnsi="宋体" w:eastAsia="宋体" w:cs="宋体"/>
                      <w:color w:val="000000"/>
                      <w:kern w:val="0"/>
                      <w:sz w:val="22"/>
                      <w:szCs w:val="22"/>
                      <w:lang w:val="en-US" w:eastAsia="zh-CN" w:bidi="ar"/>
                    </w:rPr>
                    <w:t>存场所，外售资源回收公司</w:t>
                  </w:r>
                  <w:r>
                    <w:rPr>
                      <w:rFonts w:hint="eastAsia" w:ascii="宋体" w:hAnsi="宋体" w:cs="宋体"/>
                      <w:color w:val="000000"/>
                      <w:kern w:val="0"/>
                      <w:sz w:val="22"/>
                      <w:szCs w:val="22"/>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47"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val="0"/>
                    <w:snapToGrid w:val="0"/>
                    <w:spacing w:before="133" w:line="240" w:lineRule="auto"/>
                    <w:ind w:left="303" w:leftChars="0"/>
                    <w:jc w:val="center"/>
                    <w:textAlignment w:val="auto"/>
                    <w:rPr>
                      <w:rFonts w:ascii="宋体" w:hAnsi="宋体" w:eastAsia="宋体" w:cs="宋体"/>
                      <w:spacing w:val="31"/>
                      <w:sz w:val="21"/>
                      <w:szCs w:val="21"/>
                    </w:rPr>
                  </w:pPr>
                </w:p>
              </w:tc>
              <w:tc>
                <w:tcPr>
                  <w:tcW w:w="101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原辅料包装</w:t>
                  </w:r>
                </w:p>
              </w:tc>
              <w:tc>
                <w:tcPr>
                  <w:tcW w:w="120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原料区</w:t>
                  </w:r>
                </w:p>
              </w:tc>
              <w:tc>
                <w:tcPr>
                  <w:tcW w:w="1948"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废包装物</w:t>
                  </w:r>
                </w:p>
              </w:tc>
              <w:tc>
                <w:tcPr>
                  <w:tcW w:w="3029" w:type="dxa"/>
                  <w:vMerge w:val="continue"/>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b w:val="0"/>
                      <w:bCs w:val="0"/>
                      <w:color w:val="auto"/>
                      <w:sz w:val="21"/>
                      <w:szCs w:val="21"/>
                      <w:vertAlign w:val="baseli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47"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val="0"/>
                    <w:snapToGrid w:val="0"/>
                    <w:spacing w:before="133" w:line="240" w:lineRule="auto"/>
                    <w:ind w:left="303" w:leftChars="0"/>
                    <w:jc w:val="center"/>
                    <w:textAlignment w:val="auto"/>
                    <w:rPr>
                      <w:rFonts w:ascii="宋体" w:hAnsi="宋体" w:eastAsia="宋体" w:cs="宋体"/>
                      <w:spacing w:val="31"/>
                      <w:sz w:val="21"/>
                      <w:szCs w:val="21"/>
                    </w:rPr>
                  </w:pPr>
                </w:p>
              </w:tc>
              <w:tc>
                <w:tcPr>
                  <w:tcW w:w="101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熔炼</w:t>
                  </w:r>
                </w:p>
              </w:tc>
              <w:tc>
                <w:tcPr>
                  <w:tcW w:w="120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中频炉</w:t>
                  </w:r>
                </w:p>
              </w:tc>
              <w:tc>
                <w:tcPr>
                  <w:tcW w:w="1948"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炉渣</w:t>
                  </w:r>
                </w:p>
              </w:tc>
              <w:tc>
                <w:tcPr>
                  <w:tcW w:w="3029" w:type="dxa"/>
                  <w:vMerge w:val="continue"/>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b w:val="0"/>
                      <w:bCs w:val="0"/>
                      <w:color w:val="auto"/>
                      <w:sz w:val="21"/>
                      <w:szCs w:val="21"/>
                      <w:vertAlign w:val="baseli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47"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val="0"/>
                    <w:snapToGrid w:val="0"/>
                    <w:spacing w:before="133" w:line="240" w:lineRule="auto"/>
                    <w:ind w:left="303" w:leftChars="0"/>
                    <w:jc w:val="center"/>
                    <w:textAlignment w:val="auto"/>
                    <w:rPr>
                      <w:rFonts w:ascii="宋体" w:hAnsi="宋体" w:eastAsia="宋体" w:cs="宋体"/>
                      <w:spacing w:val="31"/>
                      <w:sz w:val="21"/>
                      <w:szCs w:val="21"/>
                    </w:rPr>
                  </w:pPr>
                </w:p>
              </w:tc>
              <w:tc>
                <w:tcPr>
                  <w:tcW w:w="101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铸件抛丸清理</w:t>
                  </w:r>
                </w:p>
              </w:tc>
              <w:tc>
                <w:tcPr>
                  <w:tcW w:w="120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抛丸机</w:t>
                  </w:r>
                </w:p>
              </w:tc>
              <w:tc>
                <w:tcPr>
                  <w:tcW w:w="1948"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废抛丸、抛丸清理渣</w:t>
                  </w:r>
                </w:p>
              </w:tc>
              <w:tc>
                <w:tcPr>
                  <w:tcW w:w="3029" w:type="dxa"/>
                  <w:vMerge w:val="continue"/>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b w:val="0"/>
                      <w:bCs w:val="0"/>
                      <w:color w:val="auto"/>
                      <w:sz w:val="21"/>
                      <w:szCs w:val="21"/>
                      <w:vertAlign w:val="baseli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47"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val="0"/>
                    <w:snapToGrid w:val="0"/>
                    <w:spacing w:before="133" w:line="240" w:lineRule="auto"/>
                    <w:ind w:left="303" w:leftChars="0"/>
                    <w:jc w:val="center"/>
                    <w:textAlignment w:val="auto"/>
                    <w:rPr>
                      <w:rFonts w:ascii="宋体" w:hAnsi="宋体" w:eastAsia="宋体" w:cs="宋体"/>
                      <w:spacing w:val="31"/>
                      <w:sz w:val="21"/>
                      <w:szCs w:val="21"/>
                    </w:rPr>
                  </w:pPr>
                </w:p>
              </w:tc>
              <w:tc>
                <w:tcPr>
                  <w:tcW w:w="101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布袋集尘</w:t>
                  </w:r>
                </w:p>
              </w:tc>
              <w:tc>
                <w:tcPr>
                  <w:tcW w:w="120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布袋除尘器</w:t>
                  </w:r>
                </w:p>
              </w:tc>
              <w:tc>
                <w:tcPr>
                  <w:tcW w:w="1948"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集尘灰</w:t>
                  </w:r>
                </w:p>
              </w:tc>
              <w:tc>
                <w:tcPr>
                  <w:tcW w:w="3029" w:type="dxa"/>
                  <w:vMerge w:val="continue"/>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b w:val="0"/>
                      <w:bCs w:val="0"/>
                      <w:color w:val="auto"/>
                      <w:sz w:val="21"/>
                      <w:szCs w:val="21"/>
                      <w:vertAlign w:val="baseli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47"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val="0"/>
                    <w:snapToGrid w:val="0"/>
                    <w:spacing w:before="133" w:line="240" w:lineRule="auto"/>
                    <w:ind w:left="303" w:leftChars="0"/>
                    <w:jc w:val="center"/>
                    <w:textAlignment w:val="auto"/>
                    <w:rPr>
                      <w:rFonts w:ascii="宋体" w:hAnsi="宋体" w:eastAsia="宋体" w:cs="宋体"/>
                      <w:spacing w:val="31"/>
                      <w:sz w:val="21"/>
                      <w:szCs w:val="21"/>
                    </w:rPr>
                  </w:pPr>
                </w:p>
              </w:tc>
              <w:tc>
                <w:tcPr>
                  <w:tcW w:w="101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废气处理</w:t>
                  </w:r>
                </w:p>
              </w:tc>
              <w:tc>
                <w:tcPr>
                  <w:tcW w:w="1204"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三乙胺废气净化塔</w:t>
                  </w:r>
                </w:p>
              </w:tc>
              <w:tc>
                <w:tcPr>
                  <w:tcW w:w="1948"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三乙胺净化废水</w:t>
                  </w:r>
                </w:p>
              </w:tc>
              <w:tc>
                <w:tcPr>
                  <w:tcW w:w="3029" w:type="dxa"/>
                  <w:tcBorders>
                    <w:tl2br w:val="nil"/>
                    <w:tr2bl w:val="nil"/>
                  </w:tcBorders>
                  <w:vAlign w:val="center"/>
                </w:tcPr>
                <w:p>
                  <w:pPr>
                    <w:pStyle w:val="82"/>
                    <w:keepNext w:val="0"/>
                    <w:keepLines w:val="0"/>
                    <w:pageBreakBefore w:val="0"/>
                    <w:widowControl w:val="0"/>
                    <w:kinsoku/>
                    <w:wordWrap/>
                    <w:overflowPunct/>
                    <w:topLinePunct w:val="0"/>
                    <w:autoSpaceDE/>
                    <w:autoSpaceDN/>
                    <w:bidi w:val="0"/>
                    <w:adjustRightInd w:val="0"/>
                    <w:snapToGrid w:val="0"/>
                    <w:spacing w:before="60" w:line="240" w:lineRule="auto"/>
                    <w:ind w:left="0" w:leftChars="0" w:firstLine="0" w:firstLineChars="0"/>
                    <w:jc w:val="both"/>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收集后暂存于危险废物暂存库，定期委托有资质单位进行处置。</w:t>
                  </w:r>
                </w:p>
              </w:tc>
            </w:tr>
          </w:tbl>
          <w:p>
            <w:pPr>
              <w:pStyle w:val="72"/>
              <w:bidi w:val="0"/>
              <w:spacing w:line="360" w:lineRule="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8" w:hRule="atLeast"/>
          <w:jc w:val="center"/>
        </w:trPr>
        <w:tc>
          <w:tcPr>
            <w:tcW w:w="781" w:type="dxa"/>
            <w:noWrap w:val="0"/>
            <w:vAlign w:val="center"/>
          </w:tcPr>
          <w:p>
            <w:pPr>
              <w:pStyle w:val="24"/>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cs="宋体"/>
                <w:sz w:val="24"/>
                <w:szCs w:val="24"/>
              </w:rPr>
            </w:pPr>
            <w:r>
              <w:rPr>
                <w:rFonts w:hint="eastAsia" w:cs="宋体"/>
                <w:bCs/>
                <w:kern w:val="2"/>
                <w:sz w:val="24"/>
                <w:szCs w:val="24"/>
              </w:rPr>
              <w:t>与项目有关的原有环境污染问题</w:t>
            </w:r>
          </w:p>
        </w:tc>
        <w:tc>
          <w:tcPr>
            <w:tcW w:w="8279" w:type="dxa"/>
            <w:noWrap w:val="0"/>
            <w:vAlign w:val="top"/>
          </w:tcPr>
          <w:p>
            <w:pPr>
              <w:pStyle w:val="82"/>
              <w:bidi w:val="0"/>
              <w:rPr>
                <w:b/>
                <w:bCs/>
                <w:color w:val="auto"/>
              </w:rPr>
            </w:pPr>
            <w:r>
              <w:rPr>
                <w:rFonts w:hint="eastAsia"/>
                <w:b/>
                <w:bCs/>
                <w:color w:val="auto"/>
                <w:lang w:val="en-US" w:eastAsia="zh-CN"/>
              </w:rPr>
              <w:t>1、</w:t>
            </w:r>
            <w:r>
              <w:rPr>
                <w:rFonts w:hint="eastAsia"/>
                <w:b/>
                <w:bCs/>
                <w:color w:val="auto"/>
              </w:rPr>
              <w:t>调查存在的主要环境问题及整改措施</w:t>
            </w:r>
          </w:p>
          <w:p>
            <w:pPr>
              <w:pStyle w:val="41"/>
            </w:pPr>
            <w:r>
              <w:rPr>
                <w:rFonts w:hint="eastAsia"/>
              </w:rPr>
              <w:t>根据现场踏勘，项目现有工程存在的主要环境问题及整改措施</w:t>
            </w:r>
            <w:r>
              <w:rPr>
                <w:rFonts w:hint="eastAsia"/>
                <w:lang w:eastAsia="zh-CN"/>
              </w:rPr>
              <w:t>详见</w:t>
            </w:r>
            <w:r>
              <w:rPr>
                <w:rFonts w:hint="eastAsia"/>
              </w:rPr>
              <w:t>下表。</w:t>
            </w:r>
          </w:p>
          <w:p>
            <w:pPr>
              <w:pStyle w:val="38"/>
              <w:bidi w:val="0"/>
            </w:pPr>
            <w:r>
              <w:rPr>
                <w:rFonts w:hint="eastAsia"/>
              </w:rPr>
              <w:t>表</w:t>
            </w:r>
            <w:r>
              <w:rPr>
                <w:rFonts w:hint="eastAsia"/>
                <w:lang w:val="en-US" w:eastAsia="zh-CN"/>
              </w:rPr>
              <w:t>2-10</w:t>
            </w:r>
            <w:r>
              <w:t xml:space="preserve"> </w:t>
            </w:r>
            <w:r>
              <w:rPr>
                <w:rFonts w:hint="eastAsia"/>
              </w:rPr>
              <w:t>现有工程主要环境问题及整改措施一览表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2920"/>
              <w:gridCol w:w="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3" w:type="dxa"/>
                  <w:noWrap w:val="0"/>
                  <w:vAlign w:val="center"/>
                </w:tcPr>
                <w:p>
                  <w:pPr>
                    <w:pStyle w:val="66"/>
                    <w:bidi w:val="0"/>
                    <w:spacing w:line="240" w:lineRule="auto"/>
                  </w:pPr>
                  <w:r>
                    <w:rPr>
                      <w:rFonts w:hint="eastAsia"/>
                    </w:rPr>
                    <w:t>序号</w:t>
                  </w:r>
                </w:p>
              </w:tc>
              <w:tc>
                <w:tcPr>
                  <w:tcW w:w="2920" w:type="dxa"/>
                  <w:noWrap w:val="0"/>
                  <w:vAlign w:val="center"/>
                </w:tcPr>
                <w:p>
                  <w:pPr>
                    <w:pStyle w:val="66"/>
                    <w:bidi w:val="0"/>
                    <w:spacing w:line="240" w:lineRule="auto"/>
                    <w:rPr>
                      <w:sz w:val="21"/>
                      <w:szCs w:val="21"/>
                    </w:rPr>
                  </w:pPr>
                  <w:r>
                    <w:rPr>
                      <w:rFonts w:hint="eastAsia"/>
                      <w:sz w:val="21"/>
                      <w:szCs w:val="21"/>
                    </w:rPr>
                    <w:t>主要环境问题</w:t>
                  </w:r>
                </w:p>
              </w:tc>
              <w:tc>
                <w:tcPr>
                  <w:tcW w:w="4310" w:type="dxa"/>
                  <w:noWrap w:val="0"/>
                  <w:vAlign w:val="center"/>
                </w:tcPr>
                <w:p>
                  <w:pPr>
                    <w:pStyle w:val="66"/>
                    <w:bidi w:val="0"/>
                    <w:spacing w:line="240" w:lineRule="auto"/>
                    <w:rPr>
                      <w:sz w:val="21"/>
                      <w:szCs w:val="21"/>
                    </w:rPr>
                  </w:pPr>
                  <w:r>
                    <w:rPr>
                      <w:rFonts w:hint="eastAsia"/>
                      <w:sz w:val="21"/>
                      <w:szCs w:val="21"/>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53" w:type="dxa"/>
                  <w:gridSpan w:val="3"/>
                  <w:noWrap w:val="0"/>
                  <w:vAlign w:val="center"/>
                </w:tcPr>
                <w:p>
                  <w:pPr>
                    <w:pStyle w:val="66"/>
                    <w:bidi w:val="0"/>
                    <w:spacing w:line="240" w:lineRule="auto"/>
                    <w:jc w:val="left"/>
                    <w:rPr>
                      <w:rFonts w:hint="eastAsia"/>
                      <w:b/>
                      <w:bCs/>
                      <w:sz w:val="21"/>
                      <w:szCs w:val="21"/>
                    </w:rPr>
                  </w:pPr>
                  <w:r>
                    <w:rPr>
                      <w:rFonts w:hint="eastAsia"/>
                      <w:b/>
                      <w:bCs/>
                      <w:sz w:val="21"/>
                      <w:szCs w:val="21"/>
                      <w:lang w:val="en-US" w:eastAsia="zh-CN"/>
                    </w:rPr>
                    <w:t>有组织废气治理问题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3" w:type="dxa"/>
                  <w:noWrap w:val="0"/>
                  <w:vAlign w:val="center"/>
                </w:tcPr>
                <w:p>
                  <w:pPr>
                    <w:pStyle w:val="66"/>
                    <w:bidi w:val="0"/>
                    <w:spacing w:line="240" w:lineRule="auto"/>
                    <w:rPr>
                      <w:rFonts w:hint="default"/>
                      <w:lang w:val="en-US" w:eastAsia="zh-CN"/>
                    </w:rPr>
                  </w:pPr>
                  <w:r>
                    <w:rPr>
                      <w:rFonts w:hint="eastAsia"/>
                      <w:lang w:val="en-US" w:eastAsia="zh-CN"/>
                    </w:rPr>
                    <w:t>1</w:t>
                  </w:r>
                </w:p>
              </w:tc>
              <w:tc>
                <w:tcPr>
                  <w:tcW w:w="2920" w:type="dxa"/>
                  <w:noWrap w:val="0"/>
                  <w:vAlign w:val="center"/>
                </w:tcPr>
                <w:p>
                  <w:pPr>
                    <w:pStyle w:val="66"/>
                    <w:bidi w:val="0"/>
                    <w:spacing w:line="240" w:lineRule="auto"/>
                    <w:rPr>
                      <w:rFonts w:hint="eastAsia" w:ascii="Times New Roman" w:hAnsi="Times New Roman" w:eastAsia="宋体" w:cs="Times New Roman"/>
                      <w:b w:val="0"/>
                      <w:color w:val="auto"/>
                      <w:kern w:val="0"/>
                      <w:sz w:val="21"/>
                      <w:szCs w:val="21"/>
                      <w:lang w:val="en-US" w:eastAsia="zh-CN" w:bidi="ar-SA"/>
                    </w:rPr>
                  </w:pPr>
                  <w:r>
                    <w:rPr>
                      <w:rFonts w:hint="eastAsia" w:ascii="宋体" w:hAnsi="宋体" w:eastAsia="宋体" w:cs="宋体"/>
                      <w:color w:val="auto"/>
                      <w:kern w:val="0"/>
                      <w:sz w:val="21"/>
                      <w:szCs w:val="21"/>
                      <w:lang w:val="en-US" w:eastAsia="zh-CN" w:bidi="ar"/>
                    </w:rPr>
                    <w:t>熔炼废气</w:t>
                  </w:r>
                  <w:r>
                    <w:rPr>
                      <w:rFonts w:hint="eastAsia" w:ascii="宋体" w:hAnsi="宋体" w:cs="宋体"/>
                      <w:color w:val="auto"/>
                      <w:kern w:val="0"/>
                      <w:sz w:val="21"/>
                      <w:szCs w:val="21"/>
                      <w:lang w:val="en-US" w:eastAsia="zh-CN" w:bidi="ar"/>
                    </w:rPr>
                    <w:t>无组织排放</w:t>
                  </w:r>
                </w:p>
              </w:tc>
              <w:tc>
                <w:tcPr>
                  <w:tcW w:w="4310" w:type="dxa"/>
                  <w:noWrap w:val="0"/>
                  <w:vAlign w:val="center"/>
                </w:tcPr>
                <w:p>
                  <w:pPr>
                    <w:pStyle w:val="66"/>
                    <w:bidi w:val="0"/>
                    <w:spacing w:line="240" w:lineRule="auto"/>
                    <w:jc w:val="left"/>
                    <w:rPr>
                      <w:rFonts w:hint="eastAsia" w:ascii="Times New Roman" w:hAnsi="Times New Roman" w:eastAsia="宋体" w:cs="Times New Roman"/>
                      <w:b w:val="0"/>
                      <w:color w:val="auto"/>
                      <w:kern w:val="0"/>
                      <w:sz w:val="21"/>
                      <w:szCs w:val="21"/>
                      <w:lang w:val="en-US" w:eastAsia="zh-CN" w:bidi="ar-SA"/>
                    </w:rPr>
                  </w:pPr>
                  <w:r>
                    <w:rPr>
                      <w:rFonts w:hint="eastAsia" w:ascii="宋体" w:hAnsi="宋体" w:eastAsia="宋体" w:cs="宋体"/>
                      <w:color w:val="auto"/>
                      <w:kern w:val="0"/>
                      <w:sz w:val="21"/>
                      <w:szCs w:val="21"/>
                      <w:lang w:val="en-US" w:eastAsia="zh-CN" w:bidi="ar"/>
                    </w:rPr>
                    <w:t>采用集气罩</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脉冲袋式除尘器</w:t>
                  </w:r>
                  <w:r>
                    <w:rPr>
                      <w:rFonts w:hint="default" w:ascii="Times New Roman" w:hAnsi="Times New Roman" w:eastAsia="宋体" w:cs="Times New Roman"/>
                      <w:color w:val="auto"/>
                      <w:kern w:val="0"/>
                      <w:sz w:val="21"/>
                      <w:szCs w:val="21"/>
                      <w:lang w:val="en-US" w:eastAsia="zh-CN" w:bidi="ar"/>
                    </w:rPr>
                    <w:t xml:space="preserve">+15m </w:t>
                  </w:r>
                  <w:r>
                    <w:rPr>
                      <w:rFonts w:hint="eastAsia" w:ascii="宋体" w:hAnsi="宋体" w:eastAsia="宋体" w:cs="宋体"/>
                      <w:color w:val="auto"/>
                      <w:kern w:val="0"/>
                      <w:sz w:val="21"/>
                      <w:szCs w:val="21"/>
                      <w:lang w:val="en-US" w:eastAsia="zh-CN" w:bidi="ar"/>
                    </w:rPr>
                    <w:t>高排气筒</w:t>
                  </w:r>
                  <w:r>
                    <w:rPr>
                      <w:rFonts w:hint="eastAsia" w:ascii="宋体" w:hAnsi="宋体" w:cs="宋体"/>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3" w:type="dxa"/>
                  <w:noWrap w:val="0"/>
                  <w:vAlign w:val="center"/>
                </w:tcPr>
                <w:p>
                  <w:pPr>
                    <w:pStyle w:val="66"/>
                    <w:bidi w:val="0"/>
                    <w:spacing w:line="240" w:lineRule="auto"/>
                    <w:rPr>
                      <w:rFonts w:hint="default"/>
                      <w:lang w:val="en-US" w:eastAsia="zh-CN"/>
                    </w:rPr>
                  </w:pPr>
                  <w:r>
                    <w:rPr>
                      <w:rFonts w:hint="eastAsia"/>
                      <w:lang w:val="en-US" w:eastAsia="zh-CN"/>
                    </w:rPr>
                    <w:t>2</w:t>
                  </w:r>
                </w:p>
              </w:tc>
              <w:tc>
                <w:tcPr>
                  <w:tcW w:w="2920" w:type="dxa"/>
                  <w:noWrap w:val="0"/>
                  <w:vAlign w:val="center"/>
                </w:tcPr>
                <w:p>
                  <w:pPr>
                    <w:pStyle w:val="66"/>
                    <w:bidi w:val="0"/>
                    <w:spacing w:line="240" w:lineRule="auto"/>
                    <w:rPr>
                      <w:rFonts w:hint="default" w:ascii="宋体" w:hAnsi="宋体" w:eastAsia="宋体" w:cs="宋体"/>
                      <w:b w:val="0"/>
                      <w:color w:val="auto"/>
                      <w:kern w:val="0"/>
                      <w:sz w:val="21"/>
                      <w:szCs w:val="21"/>
                      <w:lang w:val="en-US" w:eastAsia="zh-CN" w:bidi="ar"/>
                    </w:rPr>
                  </w:pPr>
                  <w:r>
                    <w:rPr>
                      <w:rFonts w:hint="eastAsia" w:ascii="宋体" w:hAnsi="宋体" w:cs="宋体"/>
                      <w:color w:val="auto"/>
                      <w:kern w:val="0"/>
                      <w:sz w:val="21"/>
                      <w:szCs w:val="21"/>
                      <w:lang w:val="en-US" w:eastAsia="zh-CN" w:bidi="ar"/>
                    </w:rPr>
                    <w:t>三乙胺废气无组织排放</w:t>
                  </w:r>
                </w:p>
              </w:tc>
              <w:tc>
                <w:tcPr>
                  <w:tcW w:w="4310" w:type="dxa"/>
                  <w:noWrap w:val="0"/>
                  <w:vAlign w:val="center"/>
                </w:tcPr>
                <w:p>
                  <w:pPr>
                    <w:pStyle w:val="66"/>
                    <w:bidi w:val="0"/>
                    <w:spacing w:line="240" w:lineRule="auto"/>
                    <w:jc w:val="left"/>
                    <w:rPr>
                      <w:rFonts w:hint="eastAsia" w:ascii="宋体" w:hAnsi="宋体" w:eastAsia="宋体" w:cs="宋体"/>
                      <w:b w:val="0"/>
                      <w:color w:val="auto"/>
                      <w:kern w:val="0"/>
                      <w:sz w:val="21"/>
                      <w:szCs w:val="21"/>
                      <w:lang w:val="en-US" w:eastAsia="zh-CN" w:bidi="ar"/>
                    </w:rPr>
                  </w:pPr>
                  <w:r>
                    <w:rPr>
                      <w:rFonts w:hint="eastAsia" w:ascii="宋体" w:hAnsi="宋体" w:eastAsia="宋体" w:cs="宋体"/>
                      <w:color w:val="000000"/>
                      <w:kern w:val="0"/>
                      <w:sz w:val="21"/>
                      <w:szCs w:val="21"/>
                      <w:lang w:val="en-US" w:eastAsia="zh-CN" w:bidi="ar"/>
                    </w:rPr>
                    <w:t>采用集气罩</w:t>
                  </w:r>
                  <w:r>
                    <w:rPr>
                      <w:rFonts w:hint="default" w:ascii="Times New Roman" w:hAnsi="Times New Roman" w:eastAsia="宋体" w:cs="Times New Roman"/>
                      <w:color w:val="000000"/>
                      <w:kern w:val="0"/>
                      <w:sz w:val="21"/>
                      <w:szCs w:val="21"/>
                      <w:lang w:val="en-US" w:eastAsia="zh-CN" w:bidi="ar"/>
                    </w:rPr>
                    <w:t>+</w:t>
                  </w:r>
                  <w:r>
                    <w:rPr>
                      <w:rFonts w:hint="eastAsia" w:ascii="宋体" w:hAnsi="宋体" w:cs="宋体"/>
                      <w:color w:val="000000"/>
                      <w:kern w:val="0"/>
                      <w:sz w:val="21"/>
                      <w:szCs w:val="21"/>
                      <w:lang w:val="en-US" w:eastAsia="zh-CN" w:bidi="ar"/>
                    </w:rPr>
                    <w:t>滤芯除尘器</w:t>
                  </w:r>
                  <w:r>
                    <w:rPr>
                      <w:rFonts w:hint="default" w:ascii="Times New Roman" w:hAnsi="Times New Roman" w:eastAsia="宋体" w:cs="Times New Roman"/>
                      <w:color w:val="000000"/>
                      <w:kern w:val="0"/>
                      <w:sz w:val="21"/>
                      <w:szCs w:val="21"/>
                      <w:lang w:val="en-US" w:eastAsia="zh-CN" w:bidi="ar"/>
                    </w:rPr>
                    <w:t>+</w:t>
                  </w:r>
                  <w:r>
                    <w:rPr>
                      <w:rFonts w:hint="eastAsia" w:cs="Times New Roman"/>
                      <w:color w:val="000000"/>
                      <w:kern w:val="0"/>
                      <w:sz w:val="21"/>
                      <w:szCs w:val="21"/>
                      <w:lang w:val="en-US" w:eastAsia="zh-CN" w:bidi="ar"/>
                    </w:rPr>
                    <w:t>磷酸喷淋吸收净化塔</w:t>
                  </w:r>
                  <w:r>
                    <w:rPr>
                      <w:rFonts w:hint="eastAsia" w:ascii="宋体" w:hAnsi="宋体" w:eastAsia="宋体" w:cs="宋体"/>
                      <w:color w:val="000000"/>
                      <w:kern w:val="0"/>
                      <w:sz w:val="21"/>
                      <w:szCs w:val="21"/>
                      <w:lang w:val="en-US" w:eastAsia="zh-CN" w:bidi="ar"/>
                    </w:rPr>
                    <w:t>处理后经</w:t>
                  </w:r>
                  <w:r>
                    <w:rPr>
                      <w:rFonts w:hint="default" w:ascii="Times New Roman" w:hAnsi="Times New Roman" w:eastAsia="宋体" w:cs="Times New Roman"/>
                      <w:color w:val="000000"/>
                      <w:kern w:val="0"/>
                      <w:sz w:val="21"/>
                      <w:szCs w:val="21"/>
                      <w:lang w:val="en-US" w:eastAsia="zh-CN" w:bidi="ar"/>
                    </w:rPr>
                    <w:t xml:space="preserve">15m </w:t>
                  </w:r>
                  <w:r>
                    <w:rPr>
                      <w:rFonts w:hint="eastAsia" w:ascii="宋体" w:hAnsi="宋体" w:eastAsia="宋体" w:cs="宋体"/>
                      <w:color w:val="000000"/>
                      <w:kern w:val="0"/>
                      <w:sz w:val="21"/>
                      <w:szCs w:val="21"/>
                      <w:lang w:val="en-US" w:eastAsia="zh-CN" w:bidi="ar"/>
                    </w:rPr>
                    <w:t>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3" w:type="dxa"/>
                  <w:noWrap w:val="0"/>
                  <w:vAlign w:val="center"/>
                </w:tcPr>
                <w:p>
                  <w:pPr>
                    <w:pStyle w:val="66"/>
                    <w:bidi w:val="0"/>
                    <w:spacing w:line="240" w:lineRule="auto"/>
                    <w:rPr>
                      <w:rFonts w:hint="default"/>
                      <w:lang w:val="en-US" w:eastAsia="zh-CN"/>
                    </w:rPr>
                  </w:pPr>
                  <w:r>
                    <w:rPr>
                      <w:rFonts w:hint="eastAsia"/>
                      <w:lang w:val="en-US" w:eastAsia="zh-CN"/>
                    </w:rPr>
                    <w:t>3</w:t>
                  </w:r>
                </w:p>
              </w:tc>
              <w:tc>
                <w:tcPr>
                  <w:tcW w:w="2920" w:type="dxa"/>
                  <w:noWrap w:val="0"/>
                  <w:vAlign w:val="center"/>
                </w:tcPr>
                <w:p>
                  <w:pPr>
                    <w:pStyle w:val="66"/>
                    <w:bidi w:val="0"/>
                    <w:spacing w:line="240" w:lineRule="auto"/>
                    <w:rPr>
                      <w:rFonts w:hint="default" w:ascii="宋体" w:hAnsi="宋体" w:eastAsia="宋体" w:cs="宋体"/>
                      <w:b w:val="0"/>
                      <w:color w:val="auto"/>
                      <w:kern w:val="0"/>
                      <w:sz w:val="21"/>
                      <w:szCs w:val="21"/>
                      <w:lang w:val="en-US" w:eastAsia="zh-CN" w:bidi="ar"/>
                    </w:rPr>
                  </w:pPr>
                  <w:r>
                    <w:rPr>
                      <w:rFonts w:hint="eastAsia" w:ascii="宋体" w:hAnsi="宋体" w:cs="宋体"/>
                      <w:color w:val="auto"/>
                      <w:kern w:val="0"/>
                      <w:sz w:val="21"/>
                      <w:szCs w:val="21"/>
                      <w:lang w:val="en-US" w:eastAsia="zh-CN" w:bidi="ar"/>
                    </w:rPr>
                    <w:t>浇注过程废气无组织排放。</w:t>
                  </w:r>
                </w:p>
              </w:tc>
              <w:tc>
                <w:tcPr>
                  <w:tcW w:w="4310" w:type="dxa"/>
                  <w:noWrap w:val="0"/>
                  <w:vAlign w:val="center"/>
                </w:tcPr>
                <w:p>
                  <w:pPr>
                    <w:pStyle w:val="66"/>
                    <w:bidi w:val="0"/>
                    <w:spacing w:line="240" w:lineRule="auto"/>
                    <w:jc w:val="left"/>
                    <w:rPr>
                      <w:rFonts w:hint="eastAsia" w:ascii="宋体" w:hAnsi="宋体" w:eastAsia="宋体" w:cs="宋体"/>
                      <w:b w:val="0"/>
                      <w:color w:val="000000"/>
                      <w:kern w:val="0"/>
                      <w:sz w:val="21"/>
                      <w:szCs w:val="21"/>
                      <w:lang w:val="en-US" w:eastAsia="zh-CN" w:bidi="ar"/>
                    </w:rPr>
                  </w:pPr>
                  <w:r>
                    <w:rPr>
                      <w:rFonts w:hint="eastAsia" w:ascii="宋体" w:hAnsi="宋体" w:eastAsia="宋体" w:cs="宋体"/>
                      <w:color w:val="auto"/>
                      <w:kern w:val="0"/>
                      <w:sz w:val="21"/>
                      <w:szCs w:val="21"/>
                      <w:lang w:val="en-US" w:eastAsia="zh-CN" w:bidi="ar"/>
                    </w:rPr>
                    <w:t>采用集气罩</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脉冲袋式除尘器</w:t>
                  </w:r>
                  <w:r>
                    <w:rPr>
                      <w:rFonts w:hint="default" w:ascii="Times New Roman" w:hAnsi="Times New Roman" w:eastAsia="宋体" w:cs="Times New Roman"/>
                      <w:color w:val="auto"/>
                      <w:kern w:val="0"/>
                      <w:sz w:val="21"/>
                      <w:szCs w:val="21"/>
                      <w:lang w:val="en-US" w:eastAsia="zh-CN" w:bidi="ar"/>
                    </w:rPr>
                    <w:t xml:space="preserve">+15m </w:t>
                  </w:r>
                  <w:r>
                    <w:rPr>
                      <w:rFonts w:hint="eastAsia" w:ascii="宋体" w:hAnsi="宋体" w:eastAsia="宋体" w:cs="宋体"/>
                      <w:color w:val="auto"/>
                      <w:kern w:val="0"/>
                      <w:sz w:val="21"/>
                      <w:szCs w:val="21"/>
                      <w:lang w:val="en-US" w:eastAsia="zh-CN" w:bidi="ar"/>
                    </w:rPr>
                    <w:t>高排气筒</w:t>
                  </w:r>
                  <w:r>
                    <w:rPr>
                      <w:rFonts w:hint="eastAsia" w:ascii="宋体" w:hAnsi="宋体" w:cs="宋体"/>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3" w:type="dxa"/>
                  <w:noWrap w:val="0"/>
                  <w:vAlign w:val="center"/>
                </w:tcPr>
                <w:p>
                  <w:pPr>
                    <w:pStyle w:val="66"/>
                    <w:bidi w:val="0"/>
                    <w:spacing w:line="240" w:lineRule="auto"/>
                    <w:rPr>
                      <w:rFonts w:hint="default"/>
                      <w:lang w:val="en-US" w:eastAsia="zh-CN"/>
                    </w:rPr>
                  </w:pPr>
                  <w:r>
                    <w:rPr>
                      <w:rFonts w:hint="eastAsia"/>
                      <w:lang w:val="en-US" w:eastAsia="zh-CN"/>
                    </w:rPr>
                    <w:t>4</w:t>
                  </w:r>
                </w:p>
              </w:tc>
              <w:tc>
                <w:tcPr>
                  <w:tcW w:w="2920" w:type="dxa"/>
                  <w:noWrap w:val="0"/>
                  <w:vAlign w:val="center"/>
                </w:tcPr>
                <w:p>
                  <w:pPr>
                    <w:pStyle w:val="66"/>
                    <w:bidi w:val="0"/>
                    <w:spacing w:line="240" w:lineRule="auto"/>
                    <w:rPr>
                      <w:rFonts w:hint="default" w:ascii="宋体" w:hAnsi="宋体" w:cs="宋体"/>
                      <w:color w:val="auto"/>
                      <w:kern w:val="0"/>
                      <w:sz w:val="21"/>
                      <w:szCs w:val="21"/>
                      <w:lang w:val="en-US" w:eastAsia="zh-CN" w:bidi="ar"/>
                    </w:rPr>
                  </w:pPr>
                  <w:r>
                    <w:rPr>
                      <w:rFonts w:hint="eastAsia" w:ascii="宋体" w:hAnsi="宋体" w:cs="宋体"/>
                      <w:color w:val="auto"/>
                      <w:kern w:val="0"/>
                      <w:sz w:val="21"/>
                      <w:szCs w:val="21"/>
                      <w:lang w:val="en-US" w:eastAsia="zh-CN" w:bidi="ar"/>
                    </w:rPr>
                    <w:t>抛丸废气经布袋除尘后无组织排放</w:t>
                  </w:r>
                </w:p>
              </w:tc>
              <w:tc>
                <w:tcPr>
                  <w:tcW w:w="4310" w:type="dxa"/>
                  <w:noWrap w:val="0"/>
                  <w:vAlign w:val="center"/>
                </w:tcPr>
                <w:p>
                  <w:pPr>
                    <w:pStyle w:val="66"/>
                    <w:bidi w:val="0"/>
                    <w:spacing w:line="240" w:lineRule="auto"/>
                    <w:jc w:val="left"/>
                    <w:rPr>
                      <w:rFonts w:hint="eastAsia" w:ascii="宋体" w:hAnsi="宋体" w:eastAsia="宋体" w:cs="宋体"/>
                      <w:color w:val="auto"/>
                      <w:kern w:val="0"/>
                      <w:sz w:val="21"/>
                      <w:szCs w:val="21"/>
                      <w:lang w:val="en-US" w:eastAsia="zh-CN" w:bidi="ar"/>
                    </w:rPr>
                  </w:pPr>
                  <w:r>
                    <w:rPr>
                      <w:rFonts w:hint="eastAsia" w:cs="Times New Roman"/>
                      <w:color w:val="000000"/>
                      <w:kern w:val="0"/>
                      <w:sz w:val="21"/>
                      <w:szCs w:val="21"/>
                      <w:lang w:val="en-US" w:eastAsia="zh-CN" w:bidi="ar"/>
                    </w:rPr>
                    <w:t>将排气筒增高到</w:t>
                  </w:r>
                  <w:r>
                    <w:rPr>
                      <w:rFonts w:hint="default" w:ascii="Times New Roman" w:hAnsi="Times New Roman" w:eastAsia="宋体" w:cs="Times New Roman"/>
                      <w:color w:val="000000"/>
                      <w:kern w:val="0"/>
                      <w:sz w:val="21"/>
                      <w:szCs w:val="21"/>
                      <w:lang w:val="en-US" w:eastAsia="zh-CN" w:bidi="ar"/>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53" w:type="dxa"/>
                  <w:gridSpan w:val="3"/>
                  <w:noWrap w:val="0"/>
                  <w:vAlign w:val="center"/>
                </w:tcPr>
                <w:p>
                  <w:pPr>
                    <w:pStyle w:val="66"/>
                    <w:bidi w:val="0"/>
                    <w:spacing w:line="240" w:lineRule="auto"/>
                    <w:jc w:val="both"/>
                    <w:rPr>
                      <w:rFonts w:hint="eastAsia" w:ascii="宋体" w:hAnsi="宋体" w:eastAsia="宋体" w:cs="宋体"/>
                      <w:b/>
                      <w:bCs/>
                      <w:color w:val="000000"/>
                      <w:kern w:val="0"/>
                      <w:sz w:val="21"/>
                      <w:szCs w:val="21"/>
                      <w:lang w:val="en-US" w:eastAsia="zh-CN" w:bidi="ar"/>
                    </w:rPr>
                  </w:pPr>
                  <w:r>
                    <w:rPr>
                      <w:rFonts w:hint="eastAsia" w:ascii="宋体" w:hAnsi="宋体" w:cs="宋体"/>
                      <w:b/>
                      <w:bCs/>
                      <w:color w:val="auto"/>
                      <w:kern w:val="0"/>
                      <w:sz w:val="21"/>
                      <w:szCs w:val="21"/>
                      <w:lang w:val="en-US" w:eastAsia="zh-CN" w:bidi="ar"/>
                    </w:rPr>
                    <w:t>无组织废气治理问题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3" w:type="dxa"/>
                  <w:noWrap w:val="0"/>
                  <w:vAlign w:val="center"/>
                </w:tcPr>
                <w:p>
                  <w:pPr>
                    <w:pStyle w:val="66"/>
                    <w:bidi w:val="0"/>
                    <w:spacing w:line="240" w:lineRule="auto"/>
                    <w:rPr>
                      <w:rFonts w:hint="default"/>
                      <w:lang w:val="en-US" w:eastAsia="zh-CN"/>
                    </w:rPr>
                  </w:pPr>
                  <w:r>
                    <w:rPr>
                      <w:rFonts w:hint="eastAsia"/>
                      <w:lang w:val="en-US" w:eastAsia="zh-CN"/>
                    </w:rPr>
                    <w:t>1</w:t>
                  </w:r>
                </w:p>
              </w:tc>
              <w:tc>
                <w:tcPr>
                  <w:tcW w:w="2920" w:type="dxa"/>
                  <w:noWrap w:val="0"/>
                  <w:vAlign w:val="center"/>
                </w:tcPr>
                <w:p>
                  <w:pPr>
                    <w:keepNext w:val="0"/>
                    <w:keepLines w:val="0"/>
                    <w:widowControl/>
                    <w:suppressLineNumbers w:val="0"/>
                    <w:spacing w:line="240" w:lineRule="auto"/>
                    <w:jc w:val="left"/>
                    <w:rPr>
                      <w:rFonts w:hint="eastAsia" w:ascii="宋体" w:hAnsi="宋体" w:cs="宋体"/>
                      <w:color w:val="auto"/>
                      <w:kern w:val="0"/>
                      <w:sz w:val="21"/>
                      <w:szCs w:val="21"/>
                      <w:lang w:val="en-US" w:eastAsia="zh-CN" w:bidi="ar"/>
                    </w:rPr>
                  </w:pPr>
                  <w:r>
                    <w:rPr>
                      <w:rFonts w:hint="eastAsia" w:ascii="宋体" w:hAnsi="宋体" w:cs="宋体"/>
                      <w:color w:val="auto"/>
                      <w:kern w:val="0"/>
                      <w:sz w:val="21"/>
                      <w:szCs w:val="21"/>
                      <w:lang w:val="en-US" w:eastAsia="zh-CN" w:bidi="ar"/>
                    </w:rPr>
                    <w:t>除尘器卸灰口无遮挡等措施。</w:t>
                  </w:r>
                </w:p>
              </w:tc>
              <w:tc>
                <w:tcPr>
                  <w:tcW w:w="4310" w:type="dxa"/>
                  <w:noWrap w:val="0"/>
                  <w:vAlign w:val="center"/>
                </w:tcPr>
                <w:p>
                  <w:pPr>
                    <w:keepNext w:val="0"/>
                    <w:keepLines w:val="0"/>
                    <w:widowControl/>
                    <w:suppressLineNumbers w:val="0"/>
                    <w:spacing w:line="240" w:lineRule="auto"/>
                    <w:jc w:val="left"/>
                    <w:rPr>
                      <w:rFonts w:hint="default" w:ascii="宋体" w:hAnsi="宋体" w:cs="宋体"/>
                      <w:color w:val="auto"/>
                      <w:kern w:val="0"/>
                      <w:sz w:val="21"/>
                      <w:szCs w:val="21"/>
                      <w:lang w:val="en-US" w:eastAsia="zh-CN" w:bidi="ar"/>
                    </w:rPr>
                  </w:pPr>
                  <w:r>
                    <w:rPr>
                      <w:rFonts w:hint="default" w:ascii="宋体" w:hAnsi="宋体" w:cs="宋体"/>
                      <w:color w:val="auto"/>
                      <w:kern w:val="0"/>
                      <w:sz w:val="21"/>
                      <w:szCs w:val="21"/>
                      <w:lang w:val="en-US" w:eastAsia="zh-CN" w:bidi="ar"/>
                    </w:rPr>
                    <w:t>除尘器卸灰口应采取遮挡等抑尘措施，除尘灰不得直接卸落到地面。</w:t>
                  </w:r>
                </w:p>
                <w:p>
                  <w:pPr>
                    <w:keepNext w:val="0"/>
                    <w:keepLines w:val="0"/>
                    <w:widowControl/>
                    <w:suppressLineNumbers w:val="0"/>
                    <w:spacing w:line="240" w:lineRule="auto"/>
                    <w:jc w:val="left"/>
                    <w:rPr>
                      <w:rFonts w:hint="eastAsia" w:ascii="宋体" w:hAnsi="宋体" w:cs="宋体"/>
                      <w:color w:val="auto"/>
                      <w:kern w:val="0"/>
                      <w:sz w:val="21"/>
                      <w:szCs w:val="21"/>
                      <w:lang w:val="en-US" w:eastAsia="zh-CN" w:bidi="ar"/>
                    </w:rPr>
                  </w:pPr>
                  <w:r>
                    <w:rPr>
                      <w:rFonts w:hint="default" w:ascii="宋体" w:hAnsi="宋体" w:cs="宋体"/>
                      <w:color w:val="auto"/>
                      <w:kern w:val="0"/>
                      <w:sz w:val="21"/>
                      <w:szCs w:val="21"/>
                      <w:lang w:val="en-US" w:eastAsia="zh-CN" w:bidi="ar"/>
                    </w:rPr>
                    <w:t>除尘灰采取袋装、罐装等密闭措施收集、存放和运输</w:t>
                  </w:r>
                  <w:r>
                    <w:rPr>
                      <w:rFonts w:hint="eastAsia" w:ascii="宋体" w:hAnsi="宋体" w:cs="宋体"/>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53" w:type="dxa"/>
                  <w:gridSpan w:val="3"/>
                  <w:noWrap w:val="0"/>
                  <w:vAlign w:val="center"/>
                </w:tcPr>
                <w:p>
                  <w:pPr>
                    <w:keepNext w:val="0"/>
                    <w:keepLines w:val="0"/>
                    <w:widowControl/>
                    <w:suppressLineNumbers w:val="0"/>
                    <w:spacing w:line="240" w:lineRule="auto"/>
                    <w:jc w:val="left"/>
                    <w:rPr>
                      <w:rFonts w:hint="eastAsia" w:ascii="宋体" w:hAnsi="宋体" w:cs="宋体"/>
                      <w:b/>
                      <w:bCs/>
                      <w:color w:val="auto"/>
                      <w:kern w:val="0"/>
                      <w:sz w:val="21"/>
                      <w:szCs w:val="21"/>
                      <w:lang w:val="en-US" w:eastAsia="zh-CN" w:bidi="ar"/>
                    </w:rPr>
                  </w:pPr>
                  <w:r>
                    <w:rPr>
                      <w:rFonts w:hint="eastAsia" w:ascii="宋体" w:hAnsi="宋体" w:cs="宋体"/>
                      <w:b/>
                      <w:bCs/>
                      <w:color w:val="auto"/>
                      <w:kern w:val="0"/>
                      <w:sz w:val="21"/>
                      <w:szCs w:val="21"/>
                      <w:lang w:val="en-US" w:eastAsia="zh-CN" w:bidi="ar"/>
                    </w:rPr>
                    <w:t>危险废物暂存问题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3" w:type="dxa"/>
                  <w:noWrap w:val="0"/>
                  <w:vAlign w:val="center"/>
                </w:tcPr>
                <w:p>
                  <w:pPr>
                    <w:pStyle w:val="66"/>
                    <w:bidi w:val="0"/>
                    <w:spacing w:line="240" w:lineRule="auto"/>
                    <w:rPr>
                      <w:rFonts w:hint="default"/>
                      <w:lang w:val="en-US" w:eastAsia="zh-CN"/>
                    </w:rPr>
                  </w:pPr>
                  <w:r>
                    <w:rPr>
                      <w:rFonts w:hint="eastAsia"/>
                      <w:lang w:val="en-US" w:eastAsia="zh-CN"/>
                    </w:rPr>
                    <w:t>1</w:t>
                  </w:r>
                </w:p>
              </w:tc>
              <w:tc>
                <w:tcPr>
                  <w:tcW w:w="2920" w:type="dxa"/>
                  <w:noWrap w:val="0"/>
                  <w:vAlign w:val="center"/>
                </w:tcPr>
                <w:p>
                  <w:pPr>
                    <w:keepNext w:val="0"/>
                    <w:keepLines w:val="0"/>
                    <w:widowControl/>
                    <w:suppressLineNumbers w:val="0"/>
                    <w:spacing w:line="240" w:lineRule="auto"/>
                    <w:jc w:val="center"/>
                    <w:rPr>
                      <w:rFonts w:hint="default" w:ascii="宋体" w:hAnsi="宋体" w:cs="宋体"/>
                      <w:color w:val="auto"/>
                      <w:kern w:val="0"/>
                      <w:sz w:val="21"/>
                      <w:szCs w:val="21"/>
                      <w:lang w:val="en-US" w:eastAsia="zh-CN" w:bidi="ar"/>
                    </w:rPr>
                  </w:pPr>
                  <w:r>
                    <w:rPr>
                      <w:rFonts w:hint="eastAsia" w:ascii="宋体" w:hAnsi="宋体" w:cs="宋体"/>
                      <w:color w:val="auto"/>
                      <w:kern w:val="0"/>
                      <w:sz w:val="21"/>
                      <w:szCs w:val="21"/>
                      <w:lang w:val="en-US" w:eastAsia="zh-CN" w:bidi="ar"/>
                    </w:rPr>
                    <w:t>危险废物暂存库</w:t>
                  </w:r>
                </w:p>
              </w:tc>
              <w:tc>
                <w:tcPr>
                  <w:tcW w:w="4310" w:type="dxa"/>
                  <w:noWrap w:val="0"/>
                  <w:vAlign w:val="center"/>
                </w:tcPr>
                <w:p>
                  <w:pPr>
                    <w:keepNext w:val="0"/>
                    <w:keepLines w:val="0"/>
                    <w:widowControl/>
                    <w:suppressLineNumbers w:val="0"/>
                    <w:spacing w:line="240" w:lineRule="auto"/>
                    <w:jc w:val="left"/>
                    <w:rPr>
                      <w:rFonts w:hint="default" w:ascii="宋体" w:hAnsi="宋体" w:cs="宋体"/>
                      <w:color w:val="auto"/>
                      <w:kern w:val="0"/>
                      <w:sz w:val="21"/>
                      <w:szCs w:val="21"/>
                      <w:lang w:val="en-US" w:eastAsia="zh-CN" w:bidi="ar"/>
                    </w:rPr>
                  </w:pPr>
                  <w:r>
                    <w:rPr>
                      <w:rFonts w:hint="eastAsia" w:ascii="宋体" w:hAnsi="宋体" w:cs="宋体"/>
                      <w:color w:val="auto"/>
                      <w:kern w:val="0"/>
                      <w:sz w:val="21"/>
                      <w:szCs w:val="21"/>
                      <w:lang w:val="en-US" w:eastAsia="zh-CN" w:bidi="ar"/>
                    </w:rPr>
                    <w:t>按照《危险废物贮存污染控制标准》（GB18597-2023）要求对危险废物暂存库进行规范化建设。</w:t>
                  </w:r>
                  <w:r>
                    <w:rPr>
                      <w:rFonts w:hint="default" w:ascii="宋体" w:hAnsi="宋体" w:cs="宋体"/>
                      <w:color w:val="auto"/>
                      <w:kern w:val="0"/>
                      <w:sz w:val="21"/>
                      <w:szCs w:val="21"/>
                      <w:lang w:val="en-US" w:eastAsia="zh-CN" w:bidi="ar"/>
                    </w:rPr>
                    <w:t>按照《危险废物识别标志设置技术规范》（GB1276-2022）的规定，做好危险废物标签、危险废物贮存区标志和危险废物贮存设施标志的设置。</w:t>
                  </w:r>
                </w:p>
              </w:tc>
            </w:tr>
          </w:tbl>
          <w:p>
            <w:pPr>
              <w:pStyle w:val="72"/>
              <w:keepNext w:val="0"/>
              <w:keepLines w:val="0"/>
              <w:pageBreakBefore w:val="0"/>
              <w:widowControl/>
              <w:kinsoku/>
              <w:wordWrap/>
              <w:overflowPunct/>
              <w:topLinePunct w:val="0"/>
              <w:autoSpaceDE/>
              <w:autoSpaceDN/>
              <w:bidi w:val="0"/>
              <w:adjustRightInd/>
              <w:snapToGrid/>
              <w:spacing w:line="20" w:lineRule="exact"/>
              <w:textAlignment w:val="auto"/>
              <w:rPr>
                <w:rFonts w:hint="default"/>
                <w:lang w:val="en-US" w:eastAsia="zh-CN"/>
              </w:rPr>
            </w:pPr>
          </w:p>
          <w:p>
            <w:pPr>
              <w:pStyle w:val="72"/>
              <w:keepNext w:val="0"/>
              <w:keepLines w:val="0"/>
              <w:pageBreakBefore w:val="0"/>
              <w:widowControl/>
              <w:kinsoku/>
              <w:wordWrap/>
              <w:overflowPunct/>
              <w:topLinePunct w:val="0"/>
              <w:autoSpaceDE/>
              <w:autoSpaceDN/>
              <w:bidi w:val="0"/>
              <w:adjustRightInd/>
              <w:snapToGrid/>
              <w:spacing w:line="40" w:lineRule="exact"/>
              <w:textAlignment w:val="auto"/>
              <w:rPr>
                <w:rFonts w:hint="default"/>
                <w:lang w:val="en-US" w:eastAsia="zh-CN"/>
              </w:rPr>
            </w:pPr>
          </w:p>
          <w:p>
            <w:pPr>
              <w:pStyle w:val="72"/>
              <w:keepNext w:val="0"/>
              <w:keepLines w:val="0"/>
              <w:pageBreakBefore w:val="0"/>
              <w:widowControl/>
              <w:kinsoku/>
              <w:wordWrap/>
              <w:overflowPunct/>
              <w:topLinePunct w:val="0"/>
              <w:autoSpaceDE/>
              <w:autoSpaceDN/>
              <w:bidi w:val="0"/>
              <w:adjustRightInd/>
              <w:snapToGrid/>
              <w:spacing w:line="40" w:lineRule="exact"/>
              <w:textAlignment w:val="auto"/>
              <w:rPr>
                <w:rFonts w:hint="default"/>
                <w:lang w:val="en-US" w:eastAsia="zh-CN"/>
              </w:rPr>
            </w:pPr>
          </w:p>
          <w:p>
            <w:pPr>
              <w:pStyle w:val="72"/>
              <w:bidi w:val="0"/>
              <w:rPr>
                <w:rFonts w:hint="default"/>
                <w:color w:val="auto"/>
                <w:lang w:val="en-US" w:eastAsia="zh-CN"/>
              </w:rPr>
            </w:pPr>
            <w:r>
              <w:rPr>
                <w:rFonts w:hint="eastAsia"/>
                <w:color w:val="auto"/>
                <w:lang w:val="en-US" w:eastAsia="zh-CN"/>
              </w:rPr>
              <w:t>本项目</w:t>
            </w:r>
            <w:r>
              <w:rPr>
                <w:rFonts w:hint="default"/>
                <w:color w:val="auto"/>
                <w:lang w:val="en-US" w:eastAsia="zh-CN"/>
              </w:rPr>
              <w:t>正在进行设施的升级改造，预计3个月内完成整改，整改后做到</w:t>
            </w:r>
            <w:r>
              <w:rPr>
                <w:rFonts w:hint="eastAsia"/>
                <w:color w:val="auto"/>
                <w:lang w:val="en-US" w:eastAsia="zh-CN"/>
              </w:rPr>
              <w:t>稳定</w:t>
            </w:r>
            <w:r>
              <w:rPr>
                <w:rFonts w:hint="default"/>
                <w:color w:val="auto"/>
                <w:lang w:val="en-US" w:eastAsia="zh-CN"/>
              </w:rPr>
              <w:t>达标排放。</w:t>
            </w:r>
          </w:p>
          <w:p>
            <w:pPr>
              <w:pStyle w:val="72"/>
              <w:bidi w:val="0"/>
              <w:rPr>
                <w:rFonts w:hint="default"/>
                <w:color w:val="0000FF"/>
                <w:lang w:val="en-US" w:eastAsia="zh-CN"/>
              </w:rPr>
            </w:pPr>
          </w:p>
          <w:p>
            <w:pPr>
              <w:pStyle w:val="72"/>
              <w:bidi w:val="0"/>
              <w:rPr>
                <w:rFonts w:hint="default"/>
                <w:color w:val="0000FF"/>
                <w:lang w:val="en-US" w:eastAsia="zh-CN"/>
              </w:rPr>
            </w:pPr>
          </w:p>
          <w:p>
            <w:pPr>
              <w:pStyle w:val="72"/>
              <w:bidi w:val="0"/>
              <w:rPr>
                <w:rFonts w:hint="default"/>
                <w:color w:val="0000FF"/>
                <w:lang w:val="en-US" w:eastAsia="zh-CN"/>
              </w:rPr>
            </w:pPr>
          </w:p>
          <w:p>
            <w:pPr>
              <w:pStyle w:val="72"/>
              <w:bidi w:val="0"/>
              <w:rPr>
                <w:rFonts w:hint="default"/>
                <w:color w:val="0000FF"/>
                <w:lang w:val="en-US" w:eastAsia="zh-CN"/>
              </w:rPr>
            </w:pPr>
          </w:p>
          <w:p>
            <w:pPr>
              <w:pStyle w:val="72"/>
              <w:bidi w:val="0"/>
              <w:rPr>
                <w:rFonts w:hint="default"/>
                <w:color w:val="0000FF"/>
                <w:lang w:val="en-US" w:eastAsia="zh-CN"/>
              </w:rPr>
            </w:pPr>
          </w:p>
          <w:p>
            <w:pPr>
              <w:pStyle w:val="72"/>
              <w:bidi w:val="0"/>
              <w:rPr>
                <w:rFonts w:hint="default"/>
                <w:color w:val="0000FF"/>
                <w:lang w:val="en-US" w:eastAsia="zh-CN"/>
              </w:rPr>
            </w:pPr>
          </w:p>
          <w:p>
            <w:pPr>
              <w:pStyle w:val="72"/>
              <w:bidi w:val="0"/>
              <w:ind w:left="0" w:leftChars="0" w:firstLine="0" w:firstLineChars="0"/>
              <w:rPr>
                <w:rFonts w:hint="default"/>
                <w:lang w:val="en-US" w:eastAsia="zh-CN"/>
              </w:rPr>
            </w:pPr>
          </w:p>
        </w:tc>
      </w:tr>
    </w:tbl>
    <w:p>
      <w:pPr>
        <w:pStyle w:val="8"/>
        <w:sectPr>
          <w:pgSz w:w="11906" w:h="16838"/>
          <w:pgMar w:top="1701" w:right="1531" w:bottom="1701" w:left="1531" w:header="851" w:footer="850" w:gutter="0"/>
          <w:pgBorders>
            <w:top w:val="none" w:sz="0" w:space="0"/>
            <w:left w:val="none" w:sz="0" w:space="0"/>
            <w:bottom w:val="none" w:sz="0" w:space="0"/>
            <w:right w:val="none" w:sz="0" w:space="0"/>
          </w:pgBorders>
          <w:pgNumType w:fmt="numberInDash"/>
          <w:cols w:space="720" w:num="1"/>
          <w:rtlGutter w:val="0"/>
          <w:docGrid w:type="lines" w:linePitch="312" w:charSpace="0"/>
        </w:sectPr>
      </w:pPr>
    </w:p>
    <w:p>
      <w:pPr>
        <w:pStyle w:val="2"/>
        <w:bidi w:val="0"/>
        <w:ind w:firstLine="0" w:firstLineChars="0"/>
      </w:pPr>
      <w:bookmarkStart w:id="8" w:name="_Toc11986"/>
      <w:bookmarkStart w:id="9" w:name="_Toc15806"/>
      <w:bookmarkStart w:id="10" w:name="_Toc13718"/>
      <w:r>
        <w:rPr>
          <w:rFonts w:hint="eastAsia"/>
        </w:rPr>
        <w:t>三、区域环境质量现状、环境保护目标及评价标准</w:t>
      </w:r>
      <w:bookmarkEnd w:id="8"/>
      <w:bookmarkEnd w:id="9"/>
      <w:bookmarkEnd w:id="10"/>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区域</w:t>
            </w:r>
          </w:p>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190" w:type="dxa"/>
            <w:noWrap w:val="0"/>
            <w:vAlign w:val="top"/>
          </w:tcPr>
          <w:p>
            <w:pPr>
              <w:pStyle w:val="72"/>
              <w:ind w:firstLine="482"/>
              <w:rPr>
                <w:b/>
                <w:color w:val="auto"/>
              </w:rPr>
            </w:pPr>
            <w:r>
              <w:rPr>
                <w:rFonts w:hint="eastAsia"/>
                <w:b/>
                <w:color w:val="auto"/>
                <w:lang w:val="en-US" w:eastAsia="zh-CN"/>
              </w:rPr>
              <w:t>1 、大气环境</w:t>
            </w:r>
          </w:p>
          <w:p>
            <w:pPr>
              <w:adjustRightInd w:val="0"/>
              <w:snapToGrid w:val="0"/>
              <w:spacing w:line="360" w:lineRule="auto"/>
              <w:ind w:firstLine="480" w:firstLineChars="200"/>
              <w:rPr>
                <w:rFonts w:ascii="Times New Roman" w:hAnsi="Times New Roman"/>
                <w:color w:val="auto"/>
                <w:sz w:val="24"/>
              </w:rPr>
            </w:pPr>
            <w:r>
              <w:rPr>
                <w:rFonts w:hint="eastAsia" w:ascii="Times New Roman" w:hAnsi="Times New Roman"/>
                <w:color w:val="auto"/>
                <w:sz w:val="24"/>
              </w:rPr>
              <w:t>2022年六安市城区环境空气质量达标天数比例为84.7%。可吸入颗粒物（PM</w:t>
            </w:r>
            <w:r>
              <w:rPr>
                <w:rFonts w:hint="eastAsia" w:ascii="Times New Roman" w:hAnsi="Times New Roman"/>
                <w:color w:val="auto"/>
                <w:sz w:val="24"/>
                <w:vertAlign w:val="subscript"/>
              </w:rPr>
              <w:t>10</w:t>
            </w:r>
            <w:r>
              <w:rPr>
                <w:rFonts w:hint="eastAsia" w:ascii="Times New Roman" w:hAnsi="Times New Roman"/>
                <w:color w:val="auto"/>
                <w:sz w:val="24"/>
              </w:rPr>
              <w:t>）、细颗粒物（PM</w:t>
            </w:r>
            <w:r>
              <w:rPr>
                <w:rFonts w:hint="eastAsia" w:ascii="Times New Roman" w:hAnsi="Times New Roman"/>
                <w:color w:val="auto"/>
                <w:sz w:val="24"/>
                <w:vertAlign w:val="subscript"/>
              </w:rPr>
              <w:t>2.5</w:t>
            </w:r>
            <w:r>
              <w:rPr>
                <w:rFonts w:hint="eastAsia" w:ascii="Times New Roman" w:hAnsi="Times New Roman"/>
                <w:color w:val="auto"/>
                <w:sz w:val="24"/>
              </w:rPr>
              <w:t>）、二氧化硫和二氧化氮年平均浓度分别为56微克/立方米、33微克/立方米、7微克/立方米和19微克/立方米，一氧化碳统计浓度为0.8毫克/立方米，臭氧统计浓度为153微克/立方米。</w:t>
            </w:r>
            <w:r>
              <w:rPr>
                <w:rFonts w:ascii="Times New Roman" w:hAnsi="Times New Roman"/>
                <w:color w:val="auto"/>
                <w:sz w:val="24"/>
              </w:rPr>
              <w:t>区域环境空气质量现状评价表见下表。</w:t>
            </w:r>
          </w:p>
          <w:p>
            <w:pPr>
              <w:pStyle w:val="38"/>
              <w:adjustRightInd w:val="0"/>
              <w:snapToGrid w:val="0"/>
              <w:rPr>
                <w:rFonts w:ascii="Times New Roman" w:hAnsi="Times New Roman"/>
                <w:color w:val="auto"/>
                <w:lang w:val="zh-CN"/>
              </w:rPr>
            </w:pPr>
            <w:r>
              <w:rPr>
                <w:rFonts w:ascii="Times New Roman" w:hAnsi="Times New Roman"/>
                <w:color w:val="auto"/>
                <w:lang w:val="zh-CN"/>
              </w:rPr>
              <w:t>表3-1  环境空气质量评价</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392"/>
              <w:gridCol w:w="1065"/>
              <w:gridCol w:w="1080"/>
              <w:gridCol w:w="975"/>
              <w:gridCol w:w="840"/>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1" w:type="pct"/>
                  <w:vMerge w:val="restart"/>
                  <w:vAlign w:val="center"/>
                </w:tcPr>
                <w:p>
                  <w:pPr>
                    <w:pStyle w:val="39"/>
                    <w:adjustRightInd w:val="0"/>
                    <w:snapToGrid w:val="0"/>
                    <w:spacing w:line="240" w:lineRule="auto"/>
                    <w:rPr>
                      <w:rFonts w:ascii="Times New Roman" w:hAnsi="Times New Roman"/>
                      <w:bCs/>
                      <w:color w:val="auto"/>
                    </w:rPr>
                  </w:pPr>
                  <w:r>
                    <w:rPr>
                      <w:rFonts w:ascii="Times New Roman" w:hAnsi="Times New Roman"/>
                      <w:bCs/>
                      <w:color w:val="auto"/>
                    </w:rPr>
                    <w:t>污染物</w:t>
                  </w:r>
                </w:p>
              </w:tc>
              <w:tc>
                <w:tcPr>
                  <w:tcW w:w="1501" w:type="pct"/>
                  <w:vMerge w:val="restart"/>
                  <w:vAlign w:val="center"/>
                </w:tcPr>
                <w:p>
                  <w:pPr>
                    <w:pStyle w:val="39"/>
                    <w:adjustRightInd w:val="0"/>
                    <w:snapToGrid w:val="0"/>
                    <w:spacing w:line="240" w:lineRule="auto"/>
                    <w:rPr>
                      <w:rFonts w:ascii="Times New Roman" w:hAnsi="Times New Roman"/>
                      <w:bCs/>
                      <w:color w:val="auto"/>
                    </w:rPr>
                  </w:pPr>
                  <w:r>
                    <w:rPr>
                      <w:rFonts w:ascii="Times New Roman" w:hAnsi="Times New Roman"/>
                      <w:bCs/>
                      <w:color w:val="auto"/>
                    </w:rPr>
                    <w:t>浓度平均时间</w:t>
                  </w:r>
                </w:p>
              </w:tc>
              <w:tc>
                <w:tcPr>
                  <w:tcW w:w="668" w:type="pct"/>
                  <w:vMerge w:val="restart"/>
                  <w:vAlign w:val="center"/>
                </w:tcPr>
                <w:p>
                  <w:pPr>
                    <w:pStyle w:val="39"/>
                    <w:adjustRightInd w:val="0"/>
                    <w:snapToGrid w:val="0"/>
                    <w:spacing w:line="240" w:lineRule="auto"/>
                    <w:rPr>
                      <w:rFonts w:ascii="Times New Roman" w:hAnsi="Times New Roman"/>
                      <w:bCs/>
                      <w:color w:val="auto"/>
                    </w:rPr>
                  </w:pPr>
                  <w:r>
                    <w:rPr>
                      <w:rFonts w:ascii="Times New Roman" w:hAnsi="Times New Roman"/>
                      <w:bCs/>
                      <w:color w:val="auto"/>
                    </w:rPr>
                    <w:t>浓度</w:t>
                  </w:r>
                </w:p>
              </w:tc>
              <w:tc>
                <w:tcPr>
                  <w:tcW w:w="678" w:type="pct"/>
                  <w:vMerge w:val="restart"/>
                  <w:vAlign w:val="center"/>
                </w:tcPr>
                <w:p>
                  <w:pPr>
                    <w:pStyle w:val="39"/>
                    <w:adjustRightInd w:val="0"/>
                    <w:snapToGrid w:val="0"/>
                    <w:spacing w:line="240" w:lineRule="auto"/>
                    <w:rPr>
                      <w:rFonts w:ascii="Times New Roman" w:hAnsi="Times New Roman"/>
                      <w:bCs/>
                      <w:color w:val="auto"/>
                    </w:rPr>
                  </w:pPr>
                  <w:r>
                    <w:rPr>
                      <w:rFonts w:ascii="Times New Roman" w:hAnsi="Times New Roman"/>
                      <w:bCs/>
                      <w:color w:val="auto"/>
                    </w:rPr>
                    <w:t>限值</w:t>
                  </w:r>
                </w:p>
              </w:tc>
              <w:tc>
                <w:tcPr>
                  <w:tcW w:w="612" w:type="pct"/>
                  <w:vMerge w:val="restart"/>
                  <w:vAlign w:val="center"/>
                </w:tcPr>
                <w:p>
                  <w:pPr>
                    <w:pStyle w:val="39"/>
                    <w:adjustRightInd w:val="0"/>
                    <w:snapToGrid w:val="0"/>
                    <w:spacing w:line="240" w:lineRule="auto"/>
                    <w:rPr>
                      <w:rFonts w:ascii="Times New Roman" w:hAnsi="Times New Roman"/>
                      <w:bCs/>
                      <w:color w:val="auto"/>
                    </w:rPr>
                  </w:pPr>
                  <w:r>
                    <w:rPr>
                      <w:rFonts w:ascii="Times New Roman" w:hAnsi="Times New Roman"/>
                      <w:bCs/>
                      <w:color w:val="auto"/>
                    </w:rPr>
                    <w:t>占标率</w:t>
                  </w:r>
                </w:p>
              </w:tc>
              <w:tc>
                <w:tcPr>
                  <w:tcW w:w="1007" w:type="pct"/>
                  <w:gridSpan w:val="2"/>
                  <w:vAlign w:val="center"/>
                </w:tcPr>
                <w:p>
                  <w:pPr>
                    <w:pStyle w:val="39"/>
                    <w:adjustRightInd w:val="0"/>
                    <w:snapToGrid w:val="0"/>
                    <w:spacing w:line="240" w:lineRule="auto"/>
                    <w:rPr>
                      <w:rFonts w:ascii="Times New Roman" w:hAnsi="Times New Roman"/>
                      <w:bCs/>
                      <w:color w:val="auto"/>
                    </w:rPr>
                  </w:pPr>
                  <w:r>
                    <w:rPr>
                      <w:rFonts w:ascii="Times New Roman" w:hAnsi="Times New Roman"/>
                      <w:bCs/>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1" w:type="pct"/>
                  <w:vMerge w:val="continue"/>
                  <w:vAlign w:val="center"/>
                </w:tcPr>
                <w:p>
                  <w:pPr>
                    <w:pStyle w:val="39"/>
                    <w:adjustRightInd w:val="0"/>
                    <w:snapToGrid w:val="0"/>
                    <w:spacing w:line="240" w:lineRule="auto"/>
                    <w:rPr>
                      <w:rFonts w:ascii="Times New Roman" w:hAnsi="Times New Roman"/>
                      <w:bCs/>
                      <w:color w:val="auto"/>
                    </w:rPr>
                  </w:pPr>
                </w:p>
              </w:tc>
              <w:tc>
                <w:tcPr>
                  <w:tcW w:w="1501" w:type="pct"/>
                  <w:vMerge w:val="continue"/>
                  <w:vAlign w:val="center"/>
                </w:tcPr>
                <w:p>
                  <w:pPr>
                    <w:pStyle w:val="39"/>
                    <w:adjustRightInd w:val="0"/>
                    <w:snapToGrid w:val="0"/>
                    <w:spacing w:line="240" w:lineRule="auto"/>
                    <w:rPr>
                      <w:rFonts w:ascii="Times New Roman" w:hAnsi="Times New Roman"/>
                      <w:bCs/>
                      <w:color w:val="auto"/>
                    </w:rPr>
                  </w:pPr>
                </w:p>
              </w:tc>
              <w:tc>
                <w:tcPr>
                  <w:tcW w:w="668" w:type="pct"/>
                  <w:vMerge w:val="continue"/>
                  <w:vAlign w:val="center"/>
                </w:tcPr>
                <w:p>
                  <w:pPr>
                    <w:pStyle w:val="39"/>
                    <w:adjustRightInd w:val="0"/>
                    <w:snapToGrid w:val="0"/>
                    <w:spacing w:line="240" w:lineRule="auto"/>
                    <w:rPr>
                      <w:rFonts w:ascii="Times New Roman" w:hAnsi="Times New Roman"/>
                      <w:bCs/>
                      <w:color w:val="auto"/>
                    </w:rPr>
                  </w:pPr>
                </w:p>
              </w:tc>
              <w:tc>
                <w:tcPr>
                  <w:tcW w:w="678" w:type="pct"/>
                  <w:vMerge w:val="continue"/>
                  <w:vAlign w:val="center"/>
                </w:tcPr>
                <w:p>
                  <w:pPr>
                    <w:pStyle w:val="39"/>
                    <w:adjustRightInd w:val="0"/>
                    <w:snapToGrid w:val="0"/>
                    <w:spacing w:line="240" w:lineRule="auto"/>
                    <w:rPr>
                      <w:rFonts w:ascii="Times New Roman" w:hAnsi="Times New Roman"/>
                      <w:bCs/>
                      <w:color w:val="auto"/>
                    </w:rPr>
                  </w:pPr>
                </w:p>
              </w:tc>
              <w:tc>
                <w:tcPr>
                  <w:tcW w:w="612" w:type="pct"/>
                  <w:vMerge w:val="continue"/>
                  <w:vAlign w:val="center"/>
                </w:tcPr>
                <w:p>
                  <w:pPr>
                    <w:pStyle w:val="39"/>
                    <w:adjustRightInd w:val="0"/>
                    <w:snapToGrid w:val="0"/>
                    <w:spacing w:line="240" w:lineRule="auto"/>
                    <w:rPr>
                      <w:rFonts w:ascii="Times New Roman" w:hAnsi="Times New Roman"/>
                      <w:bCs/>
                      <w:color w:val="auto"/>
                    </w:rPr>
                  </w:pPr>
                </w:p>
              </w:tc>
              <w:tc>
                <w:tcPr>
                  <w:tcW w:w="527" w:type="pct"/>
                  <w:vAlign w:val="center"/>
                </w:tcPr>
                <w:p>
                  <w:pPr>
                    <w:pStyle w:val="39"/>
                    <w:adjustRightInd w:val="0"/>
                    <w:snapToGrid w:val="0"/>
                    <w:spacing w:line="240" w:lineRule="auto"/>
                    <w:rPr>
                      <w:rFonts w:ascii="Times New Roman" w:hAnsi="Times New Roman"/>
                      <w:bCs/>
                      <w:color w:val="auto"/>
                    </w:rPr>
                  </w:pPr>
                  <w:r>
                    <w:rPr>
                      <w:rFonts w:ascii="Times New Roman" w:hAnsi="Times New Roman"/>
                      <w:bCs/>
                      <w:color w:val="auto"/>
                    </w:rPr>
                    <w:t>单项</w:t>
                  </w:r>
                </w:p>
              </w:tc>
              <w:tc>
                <w:tcPr>
                  <w:tcW w:w="480" w:type="pct"/>
                  <w:vAlign w:val="center"/>
                </w:tcPr>
                <w:p>
                  <w:pPr>
                    <w:pStyle w:val="39"/>
                    <w:adjustRightInd w:val="0"/>
                    <w:snapToGrid w:val="0"/>
                    <w:rPr>
                      <w:rFonts w:ascii="Times New Roman" w:hAnsi="Times New Roman"/>
                      <w:bCs/>
                      <w:color w:val="auto"/>
                    </w:rPr>
                  </w:pPr>
                  <w:r>
                    <w:rPr>
                      <w:rFonts w:ascii="Times New Roman" w:hAnsi="Times New Roman"/>
                      <w:bCs/>
                      <w:color w:val="auto"/>
                    </w:rPr>
                    <w:t>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31"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SO</w:t>
                  </w:r>
                  <w:r>
                    <w:rPr>
                      <w:rFonts w:ascii="Times New Roman" w:hAnsi="Times New Roman"/>
                      <w:color w:val="auto"/>
                      <w:vertAlign w:val="subscript"/>
                    </w:rPr>
                    <w:t>2</w:t>
                  </w:r>
                </w:p>
              </w:tc>
              <w:tc>
                <w:tcPr>
                  <w:tcW w:w="1501"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年平均</w:t>
                  </w:r>
                </w:p>
              </w:tc>
              <w:tc>
                <w:tcPr>
                  <w:tcW w:w="668" w:type="pct"/>
                  <w:vAlign w:val="center"/>
                </w:tcPr>
                <w:p>
                  <w:pPr>
                    <w:pStyle w:val="39"/>
                    <w:adjustRightInd w:val="0"/>
                    <w:snapToGrid w:val="0"/>
                    <w:spacing w:line="240" w:lineRule="auto"/>
                    <w:rPr>
                      <w:rFonts w:ascii="Times New Roman" w:hAnsi="Times New Roman"/>
                      <w:color w:val="auto"/>
                    </w:rPr>
                  </w:pPr>
                  <w:r>
                    <w:rPr>
                      <w:rFonts w:ascii="Times New Roman" w:hAnsi="Times New Roman"/>
                      <w:bCs/>
                      <w:color w:val="auto"/>
                    </w:rPr>
                    <w:t>7μg/m</w:t>
                  </w:r>
                  <w:r>
                    <w:rPr>
                      <w:rFonts w:ascii="Times New Roman" w:hAnsi="Times New Roman"/>
                      <w:bCs/>
                      <w:color w:val="auto"/>
                      <w:vertAlign w:val="superscript"/>
                    </w:rPr>
                    <w:t>3</w:t>
                  </w:r>
                </w:p>
              </w:tc>
              <w:tc>
                <w:tcPr>
                  <w:tcW w:w="678"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60</w:t>
                  </w:r>
                  <w:r>
                    <w:rPr>
                      <w:rFonts w:ascii="Times New Roman" w:hAnsi="Times New Roman"/>
                      <w:bCs/>
                      <w:color w:val="auto"/>
                    </w:rPr>
                    <w:t>μg/m</w:t>
                  </w:r>
                  <w:r>
                    <w:rPr>
                      <w:rFonts w:ascii="Times New Roman" w:hAnsi="Times New Roman"/>
                      <w:bCs/>
                      <w:color w:val="auto"/>
                      <w:vertAlign w:val="superscript"/>
                    </w:rPr>
                    <w:t>3</w:t>
                  </w:r>
                </w:p>
              </w:tc>
              <w:tc>
                <w:tcPr>
                  <w:tcW w:w="612"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11.67%</w:t>
                  </w:r>
                </w:p>
              </w:tc>
              <w:tc>
                <w:tcPr>
                  <w:tcW w:w="527" w:type="pct"/>
                  <w:vAlign w:val="center"/>
                </w:tcPr>
                <w:p>
                  <w:pPr>
                    <w:pStyle w:val="39"/>
                    <w:adjustRightInd w:val="0"/>
                    <w:snapToGrid w:val="0"/>
                    <w:spacing w:line="240" w:lineRule="auto"/>
                    <w:rPr>
                      <w:rFonts w:ascii="Times New Roman" w:hAnsi="Times New Roman"/>
                      <w:color w:val="auto"/>
                    </w:rPr>
                  </w:pPr>
                  <w:r>
                    <w:rPr>
                      <w:rFonts w:ascii="Times New Roman" w:hAnsi="Times New Roman"/>
                      <w:bCs/>
                      <w:color w:val="auto"/>
                    </w:rPr>
                    <w:t>达标</w:t>
                  </w:r>
                </w:p>
              </w:tc>
              <w:tc>
                <w:tcPr>
                  <w:tcW w:w="480" w:type="pct"/>
                  <w:vMerge w:val="restart"/>
                  <w:vAlign w:val="center"/>
                </w:tcPr>
                <w:p>
                  <w:pPr>
                    <w:pStyle w:val="39"/>
                    <w:adjustRightInd w:val="0"/>
                    <w:snapToGrid w:val="0"/>
                    <w:rPr>
                      <w:rFonts w:ascii="Times New Roman" w:hAnsi="Times New Roman"/>
                      <w:color w:val="auto"/>
                    </w:rPr>
                  </w:pPr>
                  <w:r>
                    <w:rPr>
                      <w:rFonts w:ascii="Times New Roman" w:hAnsi="Times New Roman"/>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1"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NO</w:t>
                  </w:r>
                  <w:r>
                    <w:rPr>
                      <w:rFonts w:ascii="Times New Roman" w:hAnsi="Times New Roman"/>
                      <w:color w:val="auto"/>
                      <w:vertAlign w:val="subscript"/>
                    </w:rPr>
                    <w:t>2</w:t>
                  </w:r>
                </w:p>
              </w:tc>
              <w:tc>
                <w:tcPr>
                  <w:tcW w:w="1501"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年平均</w:t>
                  </w:r>
                </w:p>
              </w:tc>
              <w:tc>
                <w:tcPr>
                  <w:tcW w:w="668" w:type="pct"/>
                  <w:vAlign w:val="center"/>
                </w:tcPr>
                <w:p>
                  <w:pPr>
                    <w:pStyle w:val="39"/>
                    <w:adjustRightInd w:val="0"/>
                    <w:snapToGrid w:val="0"/>
                    <w:spacing w:line="240" w:lineRule="auto"/>
                    <w:rPr>
                      <w:rFonts w:ascii="Times New Roman" w:hAnsi="Times New Roman"/>
                      <w:color w:val="auto"/>
                    </w:rPr>
                  </w:pPr>
                  <w:r>
                    <w:rPr>
                      <w:rFonts w:ascii="Times New Roman" w:hAnsi="Times New Roman"/>
                      <w:bCs/>
                      <w:color w:val="auto"/>
                    </w:rPr>
                    <w:t>19μg/m</w:t>
                  </w:r>
                  <w:r>
                    <w:rPr>
                      <w:rFonts w:ascii="Times New Roman" w:hAnsi="Times New Roman"/>
                      <w:bCs/>
                      <w:color w:val="auto"/>
                      <w:vertAlign w:val="superscript"/>
                    </w:rPr>
                    <w:t>3</w:t>
                  </w:r>
                </w:p>
              </w:tc>
              <w:tc>
                <w:tcPr>
                  <w:tcW w:w="678"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40</w:t>
                  </w:r>
                  <w:r>
                    <w:rPr>
                      <w:rFonts w:ascii="Times New Roman" w:hAnsi="Times New Roman"/>
                      <w:bCs/>
                      <w:color w:val="auto"/>
                    </w:rPr>
                    <w:t>μg/m</w:t>
                  </w:r>
                  <w:r>
                    <w:rPr>
                      <w:rFonts w:ascii="Times New Roman" w:hAnsi="Times New Roman"/>
                      <w:bCs/>
                      <w:color w:val="auto"/>
                      <w:vertAlign w:val="superscript"/>
                    </w:rPr>
                    <w:t>3</w:t>
                  </w:r>
                </w:p>
              </w:tc>
              <w:tc>
                <w:tcPr>
                  <w:tcW w:w="612"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47.50%</w:t>
                  </w:r>
                </w:p>
              </w:tc>
              <w:tc>
                <w:tcPr>
                  <w:tcW w:w="527" w:type="pct"/>
                  <w:vAlign w:val="center"/>
                </w:tcPr>
                <w:p>
                  <w:pPr>
                    <w:pStyle w:val="39"/>
                    <w:adjustRightInd w:val="0"/>
                    <w:snapToGrid w:val="0"/>
                    <w:spacing w:line="240" w:lineRule="auto"/>
                    <w:rPr>
                      <w:rFonts w:ascii="Times New Roman" w:hAnsi="Times New Roman"/>
                      <w:color w:val="auto"/>
                    </w:rPr>
                  </w:pPr>
                  <w:r>
                    <w:rPr>
                      <w:rFonts w:ascii="Times New Roman" w:hAnsi="Times New Roman"/>
                      <w:bCs/>
                      <w:color w:val="auto"/>
                    </w:rPr>
                    <w:t>达标</w:t>
                  </w:r>
                </w:p>
              </w:tc>
              <w:tc>
                <w:tcPr>
                  <w:tcW w:w="480" w:type="pct"/>
                  <w:vMerge w:val="continue"/>
                  <w:vAlign w:val="center"/>
                </w:tcPr>
                <w:p>
                  <w:pPr>
                    <w:pStyle w:val="39"/>
                    <w:adjustRightInd w:val="0"/>
                    <w:snapToGrid w:val="0"/>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1"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O</w:t>
                  </w:r>
                  <w:r>
                    <w:rPr>
                      <w:rFonts w:ascii="Times New Roman" w:hAnsi="Times New Roman"/>
                      <w:color w:val="auto"/>
                      <w:vertAlign w:val="subscript"/>
                    </w:rPr>
                    <w:t>3</w:t>
                  </w:r>
                </w:p>
              </w:tc>
              <w:tc>
                <w:tcPr>
                  <w:tcW w:w="1501" w:type="pct"/>
                  <w:vAlign w:val="center"/>
                </w:tcPr>
                <w:p>
                  <w:pPr>
                    <w:pStyle w:val="39"/>
                    <w:adjustRightInd w:val="0"/>
                    <w:snapToGrid w:val="0"/>
                    <w:spacing w:line="240" w:lineRule="auto"/>
                    <w:rPr>
                      <w:rFonts w:ascii="Times New Roman" w:hAnsi="Times New Roman"/>
                      <w:color w:val="auto"/>
                    </w:rPr>
                  </w:pPr>
                  <w:r>
                    <w:rPr>
                      <w:rFonts w:hint="eastAsia" w:ascii="Times New Roman" w:hAnsi="Times New Roman"/>
                      <w:color w:val="auto"/>
                    </w:rPr>
                    <w:t>日最大</w:t>
                  </w:r>
                  <w:r>
                    <w:rPr>
                      <w:rFonts w:ascii="Times New Roman" w:hAnsi="Times New Roman"/>
                      <w:color w:val="auto"/>
                    </w:rPr>
                    <w:t>8h平均浓度第90百分位浓度</w:t>
                  </w:r>
                </w:p>
              </w:tc>
              <w:tc>
                <w:tcPr>
                  <w:tcW w:w="668" w:type="pct"/>
                  <w:vAlign w:val="center"/>
                </w:tcPr>
                <w:p>
                  <w:pPr>
                    <w:pStyle w:val="39"/>
                    <w:adjustRightInd w:val="0"/>
                    <w:snapToGrid w:val="0"/>
                    <w:spacing w:line="240" w:lineRule="auto"/>
                    <w:rPr>
                      <w:rFonts w:ascii="Times New Roman" w:hAnsi="Times New Roman"/>
                      <w:color w:val="auto"/>
                    </w:rPr>
                  </w:pPr>
                  <w:r>
                    <w:rPr>
                      <w:rFonts w:ascii="Times New Roman" w:hAnsi="Times New Roman"/>
                      <w:bCs/>
                      <w:color w:val="auto"/>
                    </w:rPr>
                    <w:t>153μg/m</w:t>
                  </w:r>
                  <w:r>
                    <w:rPr>
                      <w:rFonts w:ascii="Times New Roman" w:hAnsi="Times New Roman"/>
                      <w:bCs/>
                      <w:color w:val="auto"/>
                      <w:vertAlign w:val="superscript"/>
                    </w:rPr>
                    <w:t>3</w:t>
                  </w:r>
                </w:p>
              </w:tc>
              <w:tc>
                <w:tcPr>
                  <w:tcW w:w="678"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160</w:t>
                  </w:r>
                  <w:r>
                    <w:rPr>
                      <w:rFonts w:ascii="Times New Roman" w:hAnsi="Times New Roman"/>
                      <w:bCs/>
                      <w:color w:val="auto"/>
                    </w:rPr>
                    <w:t>μg/m</w:t>
                  </w:r>
                  <w:r>
                    <w:rPr>
                      <w:rFonts w:ascii="Times New Roman" w:hAnsi="Times New Roman"/>
                      <w:bCs/>
                      <w:color w:val="auto"/>
                      <w:vertAlign w:val="superscript"/>
                    </w:rPr>
                    <w:t>3</w:t>
                  </w:r>
                </w:p>
              </w:tc>
              <w:tc>
                <w:tcPr>
                  <w:tcW w:w="612"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95.63%</w:t>
                  </w:r>
                </w:p>
              </w:tc>
              <w:tc>
                <w:tcPr>
                  <w:tcW w:w="527" w:type="pct"/>
                  <w:vAlign w:val="center"/>
                </w:tcPr>
                <w:p>
                  <w:pPr>
                    <w:pStyle w:val="39"/>
                    <w:adjustRightInd w:val="0"/>
                    <w:snapToGrid w:val="0"/>
                    <w:spacing w:line="240" w:lineRule="auto"/>
                    <w:rPr>
                      <w:rFonts w:ascii="Times New Roman" w:hAnsi="Times New Roman"/>
                      <w:color w:val="auto"/>
                    </w:rPr>
                  </w:pPr>
                  <w:r>
                    <w:rPr>
                      <w:rFonts w:ascii="Times New Roman" w:hAnsi="Times New Roman"/>
                      <w:bCs/>
                      <w:color w:val="auto"/>
                    </w:rPr>
                    <w:t>达标</w:t>
                  </w:r>
                </w:p>
              </w:tc>
              <w:tc>
                <w:tcPr>
                  <w:tcW w:w="480" w:type="pct"/>
                  <w:vMerge w:val="continue"/>
                  <w:vAlign w:val="center"/>
                </w:tcPr>
                <w:p>
                  <w:pPr>
                    <w:pStyle w:val="39"/>
                    <w:adjustRightInd w:val="0"/>
                    <w:snapToGrid w:val="0"/>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1"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PM</w:t>
                  </w:r>
                  <w:r>
                    <w:rPr>
                      <w:rFonts w:ascii="Times New Roman" w:hAnsi="Times New Roman"/>
                      <w:color w:val="auto"/>
                      <w:vertAlign w:val="subscript"/>
                    </w:rPr>
                    <w:t>10</w:t>
                  </w:r>
                </w:p>
              </w:tc>
              <w:tc>
                <w:tcPr>
                  <w:tcW w:w="1501"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年平均</w:t>
                  </w:r>
                </w:p>
              </w:tc>
              <w:tc>
                <w:tcPr>
                  <w:tcW w:w="668" w:type="pct"/>
                  <w:vAlign w:val="center"/>
                </w:tcPr>
                <w:p>
                  <w:pPr>
                    <w:pStyle w:val="39"/>
                    <w:adjustRightInd w:val="0"/>
                    <w:snapToGrid w:val="0"/>
                    <w:spacing w:line="240" w:lineRule="auto"/>
                    <w:rPr>
                      <w:rFonts w:ascii="Times New Roman" w:hAnsi="Times New Roman"/>
                      <w:color w:val="auto"/>
                    </w:rPr>
                  </w:pPr>
                  <w:r>
                    <w:rPr>
                      <w:rFonts w:ascii="Times New Roman" w:hAnsi="Times New Roman"/>
                      <w:bCs/>
                      <w:color w:val="auto"/>
                    </w:rPr>
                    <w:t>56μg/m</w:t>
                  </w:r>
                  <w:r>
                    <w:rPr>
                      <w:rFonts w:ascii="Times New Roman" w:hAnsi="Times New Roman"/>
                      <w:bCs/>
                      <w:color w:val="auto"/>
                      <w:vertAlign w:val="superscript"/>
                    </w:rPr>
                    <w:t>3</w:t>
                  </w:r>
                </w:p>
              </w:tc>
              <w:tc>
                <w:tcPr>
                  <w:tcW w:w="678"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70</w:t>
                  </w:r>
                  <w:r>
                    <w:rPr>
                      <w:rFonts w:ascii="Times New Roman" w:hAnsi="Times New Roman"/>
                      <w:bCs/>
                      <w:color w:val="auto"/>
                    </w:rPr>
                    <w:t>μg/m</w:t>
                  </w:r>
                  <w:r>
                    <w:rPr>
                      <w:rFonts w:ascii="Times New Roman" w:hAnsi="Times New Roman"/>
                      <w:bCs/>
                      <w:color w:val="auto"/>
                      <w:vertAlign w:val="superscript"/>
                    </w:rPr>
                    <w:t>3</w:t>
                  </w:r>
                </w:p>
              </w:tc>
              <w:tc>
                <w:tcPr>
                  <w:tcW w:w="612"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80.00%</w:t>
                  </w:r>
                </w:p>
              </w:tc>
              <w:tc>
                <w:tcPr>
                  <w:tcW w:w="527" w:type="pct"/>
                  <w:vAlign w:val="center"/>
                </w:tcPr>
                <w:p>
                  <w:pPr>
                    <w:pStyle w:val="39"/>
                    <w:adjustRightInd w:val="0"/>
                    <w:snapToGrid w:val="0"/>
                    <w:spacing w:line="240" w:lineRule="auto"/>
                    <w:rPr>
                      <w:rFonts w:ascii="Times New Roman" w:hAnsi="Times New Roman"/>
                      <w:color w:val="auto"/>
                    </w:rPr>
                  </w:pPr>
                  <w:r>
                    <w:rPr>
                      <w:rFonts w:ascii="Times New Roman" w:hAnsi="Times New Roman"/>
                      <w:bCs/>
                      <w:color w:val="auto"/>
                    </w:rPr>
                    <w:t>达标</w:t>
                  </w:r>
                </w:p>
              </w:tc>
              <w:tc>
                <w:tcPr>
                  <w:tcW w:w="480" w:type="pct"/>
                  <w:vMerge w:val="continue"/>
                  <w:vAlign w:val="center"/>
                </w:tcPr>
                <w:p>
                  <w:pPr>
                    <w:pStyle w:val="39"/>
                    <w:adjustRightInd w:val="0"/>
                    <w:snapToGrid w:val="0"/>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1"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PM</w:t>
                  </w:r>
                  <w:r>
                    <w:rPr>
                      <w:rFonts w:ascii="Times New Roman" w:hAnsi="Times New Roman"/>
                      <w:color w:val="auto"/>
                      <w:vertAlign w:val="subscript"/>
                    </w:rPr>
                    <w:t>2.5</w:t>
                  </w:r>
                </w:p>
              </w:tc>
              <w:tc>
                <w:tcPr>
                  <w:tcW w:w="1501"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年平均</w:t>
                  </w:r>
                </w:p>
              </w:tc>
              <w:tc>
                <w:tcPr>
                  <w:tcW w:w="668" w:type="pct"/>
                  <w:vAlign w:val="center"/>
                </w:tcPr>
                <w:p>
                  <w:pPr>
                    <w:pStyle w:val="39"/>
                    <w:adjustRightInd w:val="0"/>
                    <w:snapToGrid w:val="0"/>
                    <w:spacing w:line="240" w:lineRule="auto"/>
                    <w:rPr>
                      <w:rFonts w:ascii="Times New Roman" w:hAnsi="Times New Roman"/>
                      <w:color w:val="auto"/>
                    </w:rPr>
                  </w:pPr>
                  <w:r>
                    <w:rPr>
                      <w:rFonts w:ascii="Times New Roman" w:hAnsi="Times New Roman"/>
                      <w:bCs/>
                      <w:color w:val="auto"/>
                    </w:rPr>
                    <w:t>33μg/m</w:t>
                  </w:r>
                  <w:r>
                    <w:rPr>
                      <w:rFonts w:ascii="Times New Roman" w:hAnsi="Times New Roman"/>
                      <w:bCs/>
                      <w:color w:val="auto"/>
                      <w:vertAlign w:val="superscript"/>
                    </w:rPr>
                    <w:t>3</w:t>
                  </w:r>
                </w:p>
              </w:tc>
              <w:tc>
                <w:tcPr>
                  <w:tcW w:w="678"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35</w:t>
                  </w:r>
                  <w:r>
                    <w:rPr>
                      <w:rFonts w:ascii="Times New Roman" w:hAnsi="Times New Roman"/>
                      <w:bCs/>
                      <w:color w:val="auto"/>
                    </w:rPr>
                    <w:t>μg/m</w:t>
                  </w:r>
                  <w:r>
                    <w:rPr>
                      <w:rFonts w:ascii="Times New Roman" w:hAnsi="Times New Roman"/>
                      <w:bCs/>
                      <w:color w:val="auto"/>
                      <w:vertAlign w:val="superscript"/>
                    </w:rPr>
                    <w:t>3</w:t>
                  </w:r>
                </w:p>
              </w:tc>
              <w:tc>
                <w:tcPr>
                  <w:tcW w:w="612"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95.29%</w:t>
                  </w:r>
                </w:p>
              </w:tc>
              <w:tc>
                <w:tcPr>
                  <w:tcW w:w="527" w:type="pct"/>
                  <w:vAlign w:val="center"/>
                </w:tcPr>
                <w:p>
                  <w:pPr>
                    <w:pStyle w:val="39"/>
                    <w:adjustRightInd w:val="0"/>
                    <w:snapToGrid w:val="0"/>
                    <w:spacing w:line="240" w:lineRule="auto"/>
                    <w:rPr>
                      <w:rFonts w:ascii="Times New Roman" w:hAnsi="Times New Roman"/>
                      <w:color w:val="auto"/>
                    </w:rPr>
                  </w:pPr>
                  <w:r>
                    <w:rPr>
                      <w:rFonts w:ascii="Times New Roman" w:hAnsi="Times New Roman"/>
                      <w:bCs/>
                      <w:color w:val="auto"/>
                    </w:rPr>
                    <w:t>达标</w:t>
                  </w:r>
                </w:p>
              </w:tc>
              <w:tc>
                <w:tcPr>
                  <w:tcW w:w="480" w:type="pct"/>
                  <w:vMerge w:val="continue"/>
                  <w:vAlign w:val="center"/>
                </w:tcPr>
                <w:p>
                  <w:pPr>
                    <w:pStyle w:val="39"/>
                    <w:adjustRightInd w:val="0"/>
                    <w:snapToGrid w:val="0"/>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1"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CO</w:t>
                  </w:r>
                </w:p>
              </w:tc>
              <w:tc>
                <w:tcPr>
                  <w:tcW w:w="1501"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日均值第95百分位浓度</w:t>
                  </w:r>
                </w:p>
              </w:tc>
              <w:tc>
                <w:tcPr>
                  <w:tcW w:w="668" w:type="pct"/>
                  <w:vAlign w:val="center"/>
                </w:tcPr>
                <w:p>
                  <w:pPr>
                    <w:pStyle w:val="39"/>
                    <w:adjustRightInd w:val="0"/>
                    <w:snapToGrid w:val="0"/>
                    <w:spacing w:line="240" w:lineRule="auto"/>
                    <w:rPr>
                      <w:rFonts w:ascii="Times New Roman" w:hAnsi="Times New Roman"/>
                      <w:color w:val="auto"/>
                    </w:rPr>
                  </w:pPr>
                  <w:r>
                    <w:rPr>
                      <w:rFonts w:ascii="Times New Roman" w:hAnsi="Times New Roman"/>
                      <w:bCs/>
                      <w:color w:val="auto"/>
                    </w:rPr>
                    <w:t>0.8</w:t>
                  </w:r>
                  <w:r>
                    <w:rPr>
                      <w:rFonts w:hint="eastAsia" w:ascii="Times New Roman" w:hAnsi="Times New Roman"/>
                      <w:bCs/>
                      <w:color w:val="auto"/>
                    </w:rPr>
                    <w:t>m</w:t>
                  </w:r>
                  <w:r>
                    <w:rPr>
                      <w:rFonts w:ascii="Times New Roman" w:hAnsi="Times New Roman"/>
                      <w:bCs/>
                      <w:color w:val="auto"/>
                    </w:rPr>
                    <w:t>g/m</w:t>
                  </w:r>
                  <w:r>
                    <w:rPr>
                      <w:rFonts w:ascii="Times New Roman" w:hAnsi="Times New Roman"/>
                      <w:bCs/>
                      <w:color w:val="auto"/>
                      <w:vertAlign w:val="superscript"/>
                    </w:rPr>
                    <w:t>3</w:t>
                  </w:r>
                </w:p>
              </w:tc>
              <w:tc>
                <w:tcPr>
                  <w:tcW w:w="678"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4</w:t>
                  </w:r>
                  <w:r>
                    <w:rPr>
                      <w:rFonts w:hint="eastAsia" w:ascii="Times New Roman" w:hAnsi="Times New Roman"/>
                      <w:color w:val="auto"/>
                    </w:rPr>
                    <w:t>m</w:t>
                  </w:r>
                  <w:r>
                    <w:rPr>
                      <w:rFonts w:ascii="Times New Roman" w:hAnsi="Times New Roman"/>
                      <w:bCs/>
                      <w:color w:val="auto"/>
                    </w:rPr>
                    <w:t>g/m</w:t>
                  </w:r>
                  <w:r>
                    <w:rPr>
                      <w:rFonts w:ascii="Times New Roman" w:hAnsi="Times New Roman"/>
                      <w:bCs/>
                      <w:color w:val="auto"/>
                      <w:vertAlign w:val="superscript"/>
                    </w:rPr>
                    <w:t>3</w:t>
                  </w:r>
                </w:p>
              </w:tc>
              <w:tc>
                <w:tcPr>
                  <w:tcW w:w="612" w:type="pct"/>
                  <w:vAlign w:val="center"/>
                </w:tcPr>
                <w:p>
                  <w:pPr>
                    <w:pStyle w:val="39"/>
                    <w:adjustRightInd w:val="0"/>
                    <w:snapToGrid w:val="0"/>
                    <w:spacing w:line="240" w:lineRule="auto"/>
                    <w:rPr>
                      <w:rFonts w:ascii="Times New Roman" w:hAnsi="Times New Roman"/>
                      <w:color w:val="auto"/>
                    </w:rPr>
                  </w:pPr>
                  <w:r>
                    <w:rPr>
                      <w:rFonts w:ascii="Times New Roman" w:hAnsi="Times New Roman"/>
                      <w:color w:val="auto"/>
                    </w:rPr>
                    <w:t>20.00%</w:t>
                  </w:r>
                </w:p>
              </w:tc>
              <w:tc>
                <w:tcPr>
                  <w:tcW w:w="527" w:type="pct"/>
                  <w:vAlign w:val="center"/>
                </w:tcPr>
                <w:p>
                  <w:pPr>
                    <w:pStyle w:val="39"/>
                    <w:adjustRightInd w:val="0"/>
                    <w:snapToGrid w:val="0"/>
                    <w:spacing w:line="240" w:lineRule="auto"/>
                    <w:rPr>
                      <w:rFonts w:ascii="Times New Roman" w:hAnsi="Times New Roman"/>
                      <w:color w:val="auto"/>
                    </w:rPr>
                  </w:pPr>
                  <w:r>
                    <w:rPr>
                      <w:rFonts w:ascii="Times New Roman" w:hAnsi="Times New Roman"/>
                      <w:bCs/>
                      <w:color w:val="auto"/>
                    </w:rPr>
                    <w:t>达标</w:t>
                  </w:r>
                </w:p>
              </w:tc>
              <w:tc>
                <w:tcPr>
                  <w:tcW w:w="480" w:type="pct"/>
                  <w:vMerge w:val="continue"/>
                  <w:vAlign w:val="center"/>
                </w:tcPr>
                <w:p>
                  <w:pPr>
                    <w:pStyle w:val="39"/>
                    <w:adjustRightInd w:val="0"/>
                    <w:snapToGrid w:val="0"/>
                    <w:rPr>
                      <w:rFonts w:ascii="Times New Roman" w:hAnsi="Times New Roman"/>
                      <w:color w:val="auto"/>
                    </w:rPr>
                  </w:pPr>
                </w:p>
              </w:tc>
            </w:tr>
          </w:tbl>
          <w:p>
            <w:pPr>
              <w:pStyle w:val="106"/>
              <w:spacing w:before="120" w:beforeLines="50"/>
              <w:rPr>
                <w:color w:val="auto"/>
              </w:rPr>
            </w:pPr>
            <w:r>
              <w:rPr>
                <w:color w:val="auto"/>
              </w:rPr>
              <w:t>2022年六安市区域SO</w:t>
            </w:r>
            <w:r>
              <w:rPr>
                <w:color w:val="auto"/>
                <w:vertAlign w:val="subscript"/>
              </w:rPr>
              <w:t>2</w:t>
            </w:r>
            <w:r>
              <w:rPr>
                <w:color w:val="auto"/>
              </w:rPr>
              <w:t>、NO</w:t>
            </w:r>
            <w:r>
              <w:rPr>
                <w:color w:val="auto"/>
                <w:vertAlign w:val="subscript"/>
              </w:rPr>
              <w:t>2</w:t>
            </w:r>
            <w:r>
              <w:rPr>
                <w:color w:val="auto"/>
              </w:rPr>
              <w:t>年平均浓度、</w:t>
            </w:r>
            <w:r>
              <w:rPr>
                <w:color w:val="auto"/>
                <w:szCs w:val="24"/>
              </w:rPr>
              <w:t>O</w:t>
            </w:r>
            <w:r>
              <w:rPr>
                <w:color w:val="auto"/>
                <w:szCs w:val="24"/>
                <w:vertAlign w:val="subscript"/>
              </w:rPr>
              <w:t>3</w:t>
            </w:r>
            <w:r>
              <w:rPr>
                <w:color w:val="auto"/>
                <w:szCs w:val="24"/>
              </w:rPr>
              <w:t>八小时平均浓度第90百分位浓度、CO日均值第95百分位浓度、</w:t>
            </w:r>
            <w:r>
              <w:rPr>
                <w:color w:val="auto"/>
              </w:rPr>
              <w:t>PM</w:t>
            </w:r>
            <w:r>
              <w:rPr>
                <w:color w:val="auto"/>
                <w:vertAlign w:val="subscript"/>
              </w:rPr>
              <w:t>2.5</w:t>
            </w:r>
            <w:r>
              <w:rPr>
                <w:color w:val="auto"/>
              </w:rPr>
              <w:t>、</w:t>
            </w:r>
            <w:r>
              <w:rPr>
                <w:color w:val="auto"/>
                <w:szCs w:val="24"/>
              </w:rPr>
              <w:t>PM</w:t>
            </w:r>
            <w:r>
              <w:rPr>
                <w:color w:val="auto"/>
                <w:szCs w:val="24"/>
                <w:vertAlign w:val="subscript"/>
              </w:rPr>
              <w:t>10</w:t>
            </w:r>
            <w:r>
              <w:rPr>
                <w:color w:val="auto"/>
              </w:rPr>
              <w:t>年平均浓度等均满足《环境空气质量标准》（GB3095-2012）中二级标准，属于达标区。</w:t>
            </w:r>
          </w:p>
          <w:p>
            <w:pPr>
              <w:pStyle w:val="72"/>
              <w:bidi w:val="0"/>
              <w:jc w:val="both"/>
              <w:rPr>
                <w:b/>
                <w:bCs/>
              </w:rPr>
            </w:pPr>
            <w:r>
              <w:rPr>
                <w:b/>
                <w:bCs/>
              </w:rPr>
              <w:t>2</w:t>
            </w:r>
            <w:r>
              <w:rPr>
                <w:rFonts w:hint="eastAsia"/>
                <w:b/>
                <w:bCs/>
                <w:lang w:eastAsia="zh-CN"/>
              </w:rPr>
              <w:t>、</w:t>
            </w:r>
            <w:r>
              <w:rPr>
                <w:rFonts w:hint="eastAsia"/>
                <w:b/>
                <w:bCs/>
                <w:lang w:val="en-US" w:eastAsia="zh-CN"/>
              </w:rPr>
              <w:t xml:space="preserve"> </w:t>
            </w:r>
            <w:r>
              <w:rPr>
                <w:b/>
                <w:bCs/>
              </w:rPr>
              <w:t>地表水</w:t>
            </w:r>
          </w:p>
          <w:p>
            <w:pPr>
              <w:pStyle w:val="72"/>
              <w:bidi w:val="0"/>
              <w:jc w:val="both"/>
              <w:rPr>
                <w:rFonts w:ascii="Times New Roman" w:hAnsi="Times New Roman"/>
                <w:color w:val="auto"/>
                <w:szCs w:val="21"/>
                <w:lang w:val="en-US" w:eastAsia="zh-CN"/>
              </w:rPr>
            </w:pPr>
            <w:r>
              <w:rPr>
                <w:lang w:val="en-US" w:eastAsia="zh-CN"/>
              </w:rPr>
              <w:t>本次环评引用</w:t>
            </w:r>
            <w:r>
              <w:rPr>
                <w:rFonts w:hint="eastAsia"/>
                <w:lang w:val="en-US" w:eastAsia="zh-CN"/>
              </w:rPr>
              <w:t>六安市生态环境局发布的2023年《2023年第二季度六安市国控考核断面水质评价结果》中淠东干渠六淮界</w:t>
            </w:r>
            <w:r>
              <w:rPr>
                <w:rFonts w:hint="eastAsia"/>
                <w:lang w:eastAsia="zh-CN"/>
              </w:rPr>
              <w:t>断面</w:t>
            </w:r>
            <w:r>
              <w:rPr>
                <w:rFonts w:hint="eastAsia"/>
                <w:lang w:val="en-US" w:eastAsia="zh-CN"/>
              </w:rPr>
              <w:t>水质</w:t>
            </w:r>
            <w:r>
              <w:rPr>
                <w:lang w:val="en-US" w:eastAsia="zh-CN"/>
              </w:rPr>
              <w:t>情况。</w:t>
            </w:r>
          </w:p>
          <w:p>
            <w:pPr>
              <w:pStyle w:val="70"/>
              <w:bidi w:val="0"/>
            </w:pPr>
            <w:r>
              <w:t>表3-</w:t>
            </w:r>
            <w:r>
              <w:rPr>
                <w:rFonts w:hint="eastAsia"/>
                <w:lang w:val="en-US" w:eastAsia="zh-CN"/>
              </w:rPr>
              <w:t>2 2023年第二季度六安市国控考核断面水质评价</w:t>
            </w:r>
            <w:r>
              <w:t>结果</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19"/>
              <w:gridCol w:w="1918"/>
              <w:gridCol w:w="1342"/>
              <w:gridCol w:w="1342"/>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2019" w:type="dxa"/>
                  <w:vMerge w:val="restart"/>
                  <w:noWrap w:val="0"/>
                  <w:vAlign w:val="center"/>
                </w:tcPr>
                <w:p>
                  <w:pPr>
                    <w:pStyle w:val="61"/>
                    <w:keepNext w:val="0"/>
                    <w:keepLines w:val="0"/>
                    <w:pageBreakBefore w:val="0"/>
                    <w:widowControl/>
                    <w:kinsoku/>
                    <w:wordWrap/>
                    <w:overflowPunct/>
                    <w:topLinePunct w:val="0"/>
                    <w:autoSpaceDE w:val="0"/>
                    <w:autoSpaceDN w:val="0"/>
                    <w:bidi w:val="0"/>
                    <w:adjustRightInd w:val="0"/>
                    <w:snapToGrid w:val="0"/>
                    <w:spacing w:beforeLines="0" w:afterLines="0" w:line="240" w:lineRule="auto"/>
                    <w:jc w:val="center"/>
                    <w:textAlignment w:val="auto"/>
                    <w:rPr>
                      <w:rFonts w:ascii="Times New Roman" w:hAnsi="Times New Roman"/>
                      <w:b/>
                      <w:bCs/>
                      <w:color w:val="auto"/>
                      <w:sz w:val="21"/>
                      <w:szCs w:val="21"/>
                    </w:rPr>
                  </w:pPr>
                  <w:r>
                    <w:rPr>
                      <w:rFonts w:ascii="Times New Roman" w:hAnsi="Times New Roman"/>
                      <w:b/>
                      <w:bCs/>
                      <w:color w:val="auto"/>
                      <w:sz w:val="21"/>
                      <w:szCs w:val="21"/>
                    </w:rPr>
                    <w:t>河流名称</w:t>
                  </w:r>
                </w:p>
              </w:tc>
              <w:tc>
                <w:tcPr>
                  <w:tcW w:w="1918" w:type="dxa"/>
                  <w:vMerge w:val="restart"/>
                  <w:noWrap w:val="0"/>
                  <w:vAlign w:val="center"/>
                </w:tcPr>
                <w:p>
                  <w:pPr>
                    <w:pStyle w:val="61"/>
                    <w:keepNext w:val="0"/>
                    <w:keepLines w:val="0"/>
                    <w:pageBreakBefore w:val="0"/>
                    <w:widowControl/>
                    <w:kinsoku/>
                    <w:wordWrap/>
                    <w:overflowPunct/>
                    <w:topLinePunct w:val="0"/>
                    <w:autoSpaceDE w:val="0"/>
                    <w:autoSpaceDN w:val="0"/>
                    <w:bidi w:val="0"/>
                    <w:adjustRightInd w:val="0"/>
                    <w:snapToGrid w:val="0"/>
                    <w:spacing w:beforeLines="0" w:afterLines="0" w:line="240" w:lineRule="auto"/>
                    <w:jc w:val="center"/>
                    <w:textAlignment w:val="auto"/>
                    <w:rPr>
                      <w:rFonts w:ascii="Times New Roman" w:hAnsi="Times New Roman"/>
                      <w:b/>
                      <w:bCs/>
                      <w:color w:val="auto"/>
                      <w:sz w:val="21"/>
                      <w:szCs w:val="21"/>
                    </w:rPr>
                  </w:pPr>
                  <w:r>
                    <w:rPr>
                      <w:rFonts w:ascii="Times New Roman" w:hAnsi="Times New Roman"/>
                      <w:b/>
                      <w:bCs/>
                      <w:color w:val="auto"/>
                      <w:sz w:val="21"/>
                      <w:szCs w:val="21"/>
                    </w:rPr>
                    <w:t>断面名称</w:t>
                  </w:r>
                </w:p>
              </w:tc>
              <w:tc>
                <w:tcPr>
                  <w:tcW w:w="4027" w:type="dxa"/>
                  <w:gridSpan w:val="3"/>
                  <w:noWrap w:val="0"/>
                  <w:vAlign w:val="center"/>
                </w:tcPr>
                <w:p>
                  <w:pPr>
                    <w:pStyle w:val="61"/>
                    <w:keepNext w:val="0"/>
                    <w:keepLines w:val="0"/>
                    <w:pageBreakBefore w:val="0"/>
                    <w:widowControl/>
                    <w:kinsoku/>
                    <w:wordWrap/>
                    <w:overflowPunct/>
                    <w:topLinePunct w:val="0"/>
                    <w:autoSpaceDE w:val="0"/>
                    <w:autoSpaceDN w:val="0"/>
                    <w:bidi w:val="0"/>
                    <w:adjustRightInd w:val="0"/>
                    <w:snapToGrid w:val="0"/>
                    <w:spacing w:beforeLines="0" w:afterLines="0" w:line="240" w:lineRule="auto"/>
                    <w:jc w:val="center"/>
                    <w:textAlignment w:val="auto"/>
                    <w:rPr>
                      <w:rFonts w:ascii="Times New Roman" w:hAnsi="Times New Roman"/>
                      <w:b/>
                      <w:bCs/>
                      <w:color w:val="auto"/>
                      <w:sz w:val="21"/>
                      <w:szCs w:val="21"/>
                    </w:rPr>
                  </w:pPr>
                  <w:r>
                    <w:rPr>
                      <w:rFonts w:ascii="Times New Roman" w:hAnsi="Times New Roman"/>
                      <w:b/>
                      <w:bCs/>
                      <w:color w:val="auto"/>
                      <w:sz w:val="21"/>
                      <w:szCs w:val="21"/>
                    </w:rPr>
                    <w:t>水质综合评价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3" w:hRule="atLeast"/>
                <w:jc w:val="center"/>
              </w:trPr>
              <w:tc>
                <w:tcPr>
                  <w:tcW w:w="2019" w:type="dxa"/>
                  <w:vMerge w:val="continue"/>
                  <w:noWrap w:val="0"/>
                  <w:vAlign w:val="center"/>
                </w:tcPr>
                <w:p>
                  <w:pPr>
                    <w:pStyle w:val="61"/>
                    <w:keepNext w:val="0"/>
                    <w:keepLines w:val="0"/>
                    <w:pageBreakBefore w:val="0"/>
                    <w:widowControl/>
                    <w:kinsoku/>
                    <w:wordWrap/>
                    <w:overflowPunct/>
                    <w:topLinePunct w:val="0"/>
                    <w:autoSpaceDE w:val="0"/>
                    <w:autoSpaceDN w:val="0"/>
                    <w:bidi w:val="0"/>
                    <w:adjustRightInd w:val="0"/>
                    <w:snapToGrid w:val="0"/>
                    <w:spacing w:beforeLines="0" w:afterLines="0" w:line="240" w:lineRule="auto"/>
                    <w:jc w:val="center"/>
                    <w:textAlignment w:val="auto"/>
                  </w:pPr>
                </w:p>
              </w:tc>
              <w:tc>
                <w:tcPr>
                  <w:tcW w:w="1918" w:type="dxa"/>
                  <w:vMerge w:val="continue"/>
                  <w:noWrap w:val="0"/>
                  <w:vAlign w:val="center"/>
                </w:tcPr>
                <w:p>
                  <w:pPr>
                    <w:pStyle w:val="61"/>
                    <w:keepNext w:val="0"/>
                    <w:keepLines w:val="0"/>
                    <w:pageBreakBefore w:val="0"/>
                    <w:widowControl/>
                    <w:kinsoku/>
                    <w:wordWrap/>
                    <w:overflowPunct/>
                    <w:topLinePunct w:val="0"/>
                    <w:autoSpaceDE w:val="0"/>
                    <w:autoSpaceDN w:val="0"/>
                    <w:bidi w:val="0"/>
                    <w:adjustRightInd w:val="0"/>
                    <w:snapToGrid w:val="0"/>
                    <w:spacing w:beforeLines="0" w:afterLines="0" w:line="240" w:lineRule="auto"/>
                    <w:jc w:val="center"/>
                    <w:textAlignment w:val="auto"/>
                  </w:pPr>
                </w:p>
              </w:tc>
              <w:tc>
                <w:tcPr>
                  <w:tcW w:w="1342" w:type="dxa"/>
                  <w:noWrap w:val="0"/>
                  <w:vAlign w:val="center"/>
                </w:tcPr>
                <w:p>
                  <w:pPr>
                    <w:pStyle w:val="61"/>
                    <w:keepNext w:val="0"/>
                    <w:keepLines w:val="0"/>
                    <w:pageBreakBefore w:val="0"/>
                    <w:widowControl/>
                    <w:kinsoku/>
                    <w:wordWrap/>
                    <w:overflowPunct/>
                    <w:topLinePunct w:val="0"/>
                    <w:autoSpaceDE w:val="0"/>
                    <w:autoSpaceDN w:val="0"/>
                    <w:bidi w:val="0"/>
                    <w:adjustRightInd w:val="0"/>
                    <w:snapToGrid w:val="0"/>
                    <w:spacing w:beforeLines="0" w:afterLines="0" w:line="24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第二季度</w:t>
                  </w:r>
                </w:p>
              </w:tc>
              <w:tc>
                <w:tcPr>
                  <w:tcW w:w="1342" w:type="dxa"/>
                  <w:noWrap w:val="0"/>
                  <w:vAlign w:val="center"/>
                </w:tcPr>
                <w:p>
                  <w:pPr>
                    <w:pStyle w:val="61"/>
                    <w:keepNext w:val="0"/>
                    <w:keepLines w:val="0"/>
                    <w:pageBreakBefore w:val="0"/>
                    <w:widowControl/>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第一季度</w:t>
                  </w:r>
                </w:p>
              </w:tc>
              <w:tc>
                <w:tcPr>
                  <w:tcW w:w="1343" w:type="dxa"/>
                  <w:noWrap w:val="0"/>
                  <w:vAlign w:val="center"/>
                </w:tcPr>
                <w:p>
                  <w:pPr>
                    <w:pStyle w:val="61"/>
                    <w:keepNext w:val="0"/>
                    <w:keepLines w:val="0"/>
                    <w:pageBreakBefore w:val="0"/>
                    <w:widowControl/>
                    <w:kinsoku/>
                    <w:wordWrap/>
                    <w:overflowPunct/>
                    <w:topLinePunct w:val="0"/>
                    <w:autoSpaceDE w:val="0"/>
                    <w:autoSpaceDN w:val="0"/>
                    <w:bidi w:val="0"/>
                    <w:adjustRightInd w:val="0"/>
                    <w:snapToGrid w:val="0"/>
                    <w:spacing w:beforeLines="0" w:afterLines="0" w:line="24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19" w:type="dxa"/>
                  <w:noWrap w:val="0"/>
                  <w:vAlign w:val="center"/>
                </w:tcPr>
                <w:p>
                  <w:pPr>
                    <w:pStyle w:val="61"/>
                    <w:keepNext w:val="0"/>
                    <w:keepLines w:val="0"/>
                    <w:pageBreakBefore w:val="0"/>
                    <w:widowControl/>
                    <w:kinsoku/>
                    <w:wordWrap/>
                    <w:overflowPunct/>
                    <w:topLinePunct w:val="0"/>
                    <w:autoSpaceDE w:val="0"/>
                    <w:autoSpaceDN w:val="0"/>
                    <w:bidi w:val="0"/>
                    <w:adjustRightInd w:val="0"/>
                    <w:snapToGrid w:val="0"/>
                    <w:spacing w:beforeLines="0" w:afterLines="0" w:line="240" w:lineRule="auto"/>
                    <w:jc w:val="center"/>
                    <w:textAlignment w:val="auto"/>
                    <w:rPr>
                      <w:rFonts w:hint="eastAsia" w:ascii="Times New Roman" w:hAnsi="Times New Roman" w:eastAsia="宋体"/>
                      <w:bCs/>
                      <w:color w:val="auto"/>
                      <w:sz w:val="21"/>
                      <w:szCs w:val="21"/>
                      <w:lang w:val="en-US" w:eastAsia="zh-CN"/>
                    </w:rPr>
                  </w:pPr>
                  <w:r>
                    <w:rPr>
                      <w:rFonts w:hint="eastAsia" w:ascii="Times New Roman"/>
                      <w:bCs/>
                      <w:color w:val="auto"/>
                      <w:sz w:val="21"/>
                      <w:szCs w:val="21"/>
                      <w:lang w:val="en-US" w:eastAsia="zh-CN"/>
                    </w:rPr>
                    <w:t>淠东干渠</w:t>
                  </w:r>
                </w:p>
              </w:tc>
              <w:tc>
                <w:tcPr>
                  <w:tcW w:w="1918" w:type="dxa"/>
                  <w:noWrap w:val="0"/>
                  <w:vAlign w:val="center"/>
                </w:tcPr>
                <w:p>
                  <w:pPr>
                    <w:pStyle w:val="68"/>
                    <w:bidi w:val="0"/>
                    <w:rPr>
                      <w:rFonts w:hint="eastAsia" w:ascii="Times New Roman" w:hAnsi="Times New Roman" w:eastAsia="宋体" w:cs="Times New Roman"/>
                      <w:kern w:val="2"/>
                      <w:sz w:val="21"/>
                      <w:szCs w:val="22"/>
                      <w:lang w:val="en-US" w:eastAsia="zh-CN" w:bidi="ar-SA"/>
                    </w:rPr>
                  </w:pPr>
                  <w:r>
                    <w:rPr>
                      <w:rFonts w:hint="eastAsia"/>
                      <w:lang w:val="en-US" w:eastAsia="zh-CN"/>
                    </w:rPr>
                    <w:t>淠东干渠六淮界</w:t>
                  </w:r>
                </w:p>
              </w:tc>
              <w:tc>
                <w:tcPr>
                  <w:tcW w:w="1342" w:type="dxa"/>
                  <w:noWrap w:val="0"/>
                  <w:vAlign w:val="center"/>
                </w:tcPr>
                <w:p>
                  <w:pPr>
                    <w:pStyle w:val="68"/>
                    <w:bidi w:val="0"/>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Ⅲ</w:t>
                  </w:r>
                </w:p>
              </w:tc>
              <w:tc>
                <w:tcPr>
                  <w:tcW w:w="1342" w:type="dxa"/>
                  <w:noWrap w:val="0"/>
                  <w:vAlign w:val="center"/>
                </w:tcPr>
                <w:p>
                  <w:pPr>
                    <w:pStyle w:val="68"/>
                    <w:bidi w:val="0"/>
                    <w:rPr>
                      <w:rFonts w:hint="eastAsia" w:ascii="Times New Roman" w:hAnsi="Times New Roman" w:eastAsia="宋体" w:cs="Times New Roman"/>
                      <w:kern w:val="2"/>
                      <w:sz w:val="21"/>
                      <w:szCs w:val="22"/>
                      <w:lang w:val="en-US" w:eastAsia="zh-CN" w:bidi="ar-SA"/>
                    </w:rPr>
                  </w:pPr>
                  <w:r>
                    <w:rPr>
                      <w:rFonts w:hint="eastAsia" w:ascii="宋体" w:hAnsi="宋体" w:eastAsia="宋体" w:cs="宋体"/>
                      <w:i w:val="0"/>
                      <w:iCs w:val="0"/>
                      <w:caps w:val="0"/>
                      <w:color w:val="333333"/>
                      <w:spacing w:val="0"/>
                      <w:sz w:val="20"/>
                      <w:szCs w:val="20"/>
                      <w:shd w:val="clear" w:fill="FFFFFF"/>
                    </w:rPr>
                    <w:t>Ⅳ</w:t>
                  </w:r>
                </w:p>
              </w:tc>
              <w:tc>
                <w:tcPr>
                  <w:tcW w:w="1343" w:type="dxa"/>
                  <w:noWrap w:val="0"/>
                  <w:vAlign w:val="center"/>
                </w:tcPr>
                <w:p>
                  <w:pPr>
                    <w:pStyle w:val="68"/>
                    <w:bidi w:val="0"/>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好转</w:t>
                  </w:r>
                </w:p>
              </w:tc>
            </w:tr>
          </w:tbl>
          <w:p>
            <w:pPr>
              <w:pStyle w:val="72"/>
              <w:bidi w:val="0"/>
              <w:rPr>
                <w:rFonts w:hint="default"/>
                <w:lang w:val="en-US"/>
              </w:rPr>
            </w:pPr>
            <w:r>
              <w:rPr>
                <w:rFonts w:hint="eastAsia"/>
                <w:lang w:eastAsia="zh-CN"/>
              </w:rPr>
              <w:t>据上可知，2023年第二季度淠东干渠六淮界断面水质</w:t>
            </w:r>
            <w:r>
              <w:rPr>
                <w:lang w:eastAsia="zh-CN"/>
              </w:rPr>
              <w:t>满足</w:t>
            </w:r>
            <w:r>
              <w:t>《地表水环境质量标准》（GB3838-2002）中Ⅲ类标准</w:t>
            </w:r>
            <w:r>
              <w:rPr>
                <w:rFonts w:hint="eastAsia"/>
                <w:lang w:eastAsia="zh-CN"/>
              </w:rPr>
              <w:t>要求，</w:t>
            </w:r>
            <w:r>
              <w:rPr>
                <w:rFonts w:hint="eastAsia"/>
                <w:lang w:val="en-US" w:eastAsia="zh-CN"/>
              </w:rPr>
              <w:t>较第一季度水质好转。</w:t>
            </w:r>
          </w:p>
          <w:p>
            <w:pPr>
              <w:pStyle w:val="82"/>
              <w:keepNext w:val="0"/>
              <w:keepLines w:val="0"/>
              <w:pageBreakBefore w:val="0"/>
              <w:kinsoku/>
              <w:wordWrap/>
              <w:overflowPunct/>
              <w:topLinePunct w:val="0"/>
              <w:autoSpaceDE/>
              <w:autoSpaceDN/>
              <w:bidi w:val="0"/>
              <w:adjustRightInd w:val="0"/>
              <w:snapToGrid w:val="0"/>
              <w:spacing w:line="360" w:lineRule="auto"/>
              <w:textAlignment w:val="auto"/>
              <w:rPr>
                <w:b/>
                <w:bCs/>
                <w:color w:val="auto"/>
              </w:rPr>
            </w:pPr>
            <w:r>
              <w:rPr>
                <w:rFonts w:hint="eastAsia"/>
                <w:b/>
                <w:bCs/>
                <w:color w:val="auto"/>
              </w:rPr>
              <w:t>3</w:t>
            </w:r>
            <w:r>
              <w:rPr>
                <w:rFonts w:hint="eastAsia"/>
                <w:b/>
                <w:bCs/>
                <w:color w:val="auto"/>
                <w:lang w:val="en-US" w:eastAsia="zh-CN"/>
              </w:rPr>
              <w:t xml:space="preserve"> 、</w:t>
            </w:r>
            <w:r>
              <w:rPr>
                <w:rFonts w:hint="eastAsia"/>
                <w:b/>
                <w:bCs/>
                <w:color w:val="auto"/>
              </w:rPr>
              <w:t>声环境</w:t>
            </w:r>
          </w:p>
          <w:p>
            <w:pPr>
              <w:pStyle w:val="72"/>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eastAsia="zh-CN"/>
              </w:rPr>
              <w:t>本项目厂界外</w:t>
            </w:r>
            <w:r>
              <w:rPr>
                <w:rFonts w:hint="eastAsia"/>
                <w:color w:val="auto"/>
                <w:lang w:val="en-US" w:eastAsia="zh-CN"/>
              </w:rPr>
              <w:t>50米范围内无敏感目标。</w:t>
            </w:r>
          </w:p>
          <w:p>
            <w:pPr>
              <w:pStyle w:val="72"/>
              <w:keepNext w:val="0"/>
              <w:keepLines w:val="0"/>
              <w:pageBreakBefore w:val="0"/>
              <w:widowControl/>
              <w:kinsoku/>
              <w:wordWrap/>
              <w:overflowPunct/>
              <w:topLinePunct w:val="0"/>
              <w:autoSpaceDE/>
              <w:autoSpaceDN/>
              <w:bidi w:val="0"/>
              <w:adjustRightInd w:val="0"/>
              <w:snapToGrid w:val="0"/>
              <w:spacing w:line="360" w:lineRule="auto"/>
              <w:textAlignment w:val="auto"/>
              <w:rPr>
                <w:rFonts w:hint="default"/>
                <w:b/>
                <w:bCs/>
                <w:color w:val="auto"/>
                <w:lang w:val="en-US" w:eastAsia="zh-CN"/>
              </w:rPr>
            </w:pPr>
            <w:r>
              <w:rPr>
                <w:rFonts w:hint="eastAsia"/>
                <w:b/>
                <w:bCs/>
                <w:color w:val="auto"/>
                <w:lang w:val="en-US" w:eastAsia="zh-CN"/>
              </w:rPr>
              <w:t>4、生态环境</w:t>
            </w:r>
          </w:p>
          <w:p>
            <w:pPr>
              <w:pStyle w:val="72"/>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lang w:val="en-US" w:eastAsia="zh-CN"/>
              </w:rPr>
            </w:pPr>
            <w:r>
              <w:rPr>
                <w:rFonts w:hint="eastAsia"/>
                <w:color w:val="auto"/>
                <w:lang w:val="en-US" w:eastAsia="zh-CN"/>
              </w:rPr>
              <w:t>本项目用地范围内无生态环境保护目标，不进行生态现状调查。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33" w:hRule="atLeast"/>
          <w:jc w:val="center"/>
        </w:trPr>
        <w:tc>
          <w:tcPr>
            <w:tcW w:w="800"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保护</w:t>
            </w:r>
          </w:p>
          <w:p>
            <w:pPr>
              <w:adjustRightInd w:val="0"/>
              <w:snapToGrid w:val="0"/>
              <w:jc w:val="center"/>
              <w:rPr>
                <w:rFonts w:hint="eastAsia" w:ascii="宋体" w:hAnsi="宋体" w:cs="宋体"/>
                <w:kern w:val="0"/>
                <w:szCs w:val="21"/>
              </w:rPr>
            </w:pPr>
            <w:r>
              <w:rPr>
                <w:rFonts w:hint="eastAsia" w:ascii="宋体" w:hAnsi="宋体" w:cs="宋体"/>
                <w:kern w:val="0"/>
                <w:szCs w:val="21"/>
              </w:rPr>
              <w:t>目标</w:t>
            </w:r>
          </w:p>
        </w:tc>
        <w:tc>
          <w:tcPr>
            <w:tcW w:w="8190" w:type="dxa"/>
            <w:noWrap w:val="0"/>
            <w:vAlign w:val="top"/>
          </w:tcPr>
          <w:p>
            <w:pPr>
              <w:pStyle w:val="72"/>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1、大气环境</w:t>
            </w:r>
          </w:p>
          <w:p>
            <w:pPr>
              <w:pStyle w:val="72"/>
              <w:keepNext w:val="0"/>
              <w:keepLines w:val="0"/>
              <w:pageBreakBefore w:val="0"/>
              <w:widowControl/>
              <w:kinsoku/>
              <w:wordWrap/>
              <w:overflowPunct/>
              <w:topLinePunct w:val="0"/>
              <w:autoSpaceDE/>
              <w:autoSpaceDN/>
              <w:bidi w:val="0"/>
              <w:adjustRightInd/>
              <w:snapToGrid/>
              <w:spacing w:before="40"/>
              <w:textAlignment w:val="auto"/>
              <w:rPr>
                <w:rFonts w:hint="eastAsia"/>
                <w:color w:val="000000" w:themeColor="text1"/>
                <w:lang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本</w:t>
            </w:r>
            <w:r>
              <w:rPr>
                <w:rFonts w:hint="eastAsia" w:ascii="Times New Roman" w:hAnsi="Times New Roman" w:eastAsia="宋体" w:cs="Times New Roman"/>
                <w:bCs/>
                <w:color w:val="000000" w:themeColor="text1"/>
                <w:sz w:val="24"/>
                <w:szCs w:val="24"/>
                <w:lang w:eastAsia="zh-CN"/>
                <w14:textFill>
                  <w14:solidFill>
                    <w14:schemeClr w14:val="tx1"/>
                  </w14:solidFill>
                </w14:textFill>
              </w:rPr>
              <w:t>项目厂界外500米范围内</w:t>
            </w:r>
            <w:r>
              <w:rPr>
                <w:rFonts w:hint="eastAsia"/>
                <w:color w:val="000000" w:themeColor="text1"/>
                <w:lang w:eastAsia="zh-CN"/>
                <w14:textFill>
                  <w14:solidFill>
                    <w14:schemeClr w14:val="tx1"/>
                  </w14:solidFill>
                </w14:textFill>
              </w:rPr>
              <w:t>环境保护目标如下：</w:t>
            </w:r>
          </w:p>
          <w:p>
            <w:pPr>
              <w:snapToGrid w:val="0"/>
              <w:spacing w:line="24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表3-</w:t>
            </w:r>
            <w:r>
              <w:rPr>
                <w:rFonts w:hint="eastAsia" w:cs="Times New Roman"/>
                <w:b/>
                <w:bCs/>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b/>
                <w:bCs/>
                <w:color w:val="000000" w:themeColor="text1"/>
                <w:sz w:val="21"/>
                <w:szCs w:val="21"/>
                <w:lang w:val="en-US" w:eastAsia="zh-CN"/>
                <w14:textFill>
                  <w14:solidFill>
                    <w14:schemeClr w14:val="tx1"/>
                  </w14:solidFill>
                </w14:textFill>
              </w:rPr>
              <w:t>大气</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环境保护目标</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500"/>
              <w:gridCol w:w="1530"/>
              <w:gridCol w:w="93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04" w:type="dxa"/>
                  <w:noWrap w:val="0"/>
                  <w:vAlign w:val="center"/>
                </w:tcPr>
                <w:p>
                  <w:pPr>
                    <w:pStyle w:val="68"/>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名称</w:t>
                  </w:r>
                </w:p>
              </w:tc>
              <w:tc>
                <w:tcPr>
                  <w:tcW w:w="1500" w:type="dxa"/>
                  <w:noWrap w:val="0"/>
                  <w:vAlign w:val="center"/>
                </w:tcPr>
                <w:p>
                  <w:pPr>
                    <w:pStyle w:val="68"/>
                    <w:bidi w:val="0"/>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相对厂址方位</w:t>
                  </w:r>
                </w:p>
              </w:tc>
              <w:tc>
                <w:tcPr>
                  <w:tcW w:w="1530" w:type="dxa"/>
                  <w:noWrap w:val="0"/>
                  <w:vAlign w:val="center"/>
                </w:tcPr>
                <w:p>
                  <w:pPr>
                    <w:pStyle w:val="68"/>
                    <w:bidi w:val="0"/>
                    <w:rPr>
                      <w:rFonts w:hint="default" w:eastAsia="宋体"/>
                      <w:color w:val="000000" w:themeColor="text1"/>
                      <w:sz w:val="21"/>
                      <w:szCs w:val="21"/>
                      <w:lang w:val="en-US" w:eastAsia="zh-CN"/>
                      <w14:textFill>
                        <w14:solidFill>
                          <w14:schemeClr w14:val="tx1"/>
                        </w14:solidFill>
                      </w14:textFill>
                    </w:rPr>
                  </w:pPr>
                  <w:r>
                    <w:rPr>
                      <w:rFonts w:hint="default"/>
                      <w:color w:val="000000" w:themeColor="text1"/>
                      <w:sz w:val="21"/>
                      <w:szCs w:val="21"/>
                      <w:lang w:eastAsia="zh-CN"/>
                      <w14:textFill>
                        <w14:solidFill>
                          <w14:schemeClr w14:val="tx1"/>
                        </w14:solidFill>
                      </w14:textFill>
                    </w:rPr>
                    <w:t>相对厂界</w:t>
                  </w:r>
                  <w:r>
                    <w:rPr>
                      <w:rFonts w:hint="default"/>
                      <w:color w:val="000000" w:themeColor="text1"/>
                      <w:sz w:val="21"/>
                      <w:szCs w:val="21"/>
                      <w14:textFill>
                        <w14:solidFill>
                          <w14:schemeClr w14:val="tx1"/>
                        </w14:solidFill>
                      </w14:textFill>
                    </w:rPr>
                    <w:t>距离</w:t>
                  </w:r>
                  <w:r>
                    <w:rPr>
                      <w:rFonts w:hint="eastAsia"/>
                      <w:color w:val="000000" w:themeColor="text1"/>
                      <w:sz w:val="21"/>
                      <w:szCs w:val="21"/>
                      <w:lang w:val="en-US" w:eastAsia="zh-CN"/>
                      <w14:textFill>
                        <w14:solidFill>
                          <w14:schemeClr w14:val="tx1"/>
                        </w14:solidFill>
                      </w14:textFill>
                    </w:rPr>
                    <w:t>/m</w:t>
                  </w:r>
                </w:p>
              </w:tc>
              <w:tc>
                <w:tcPr>
                  <w:tcW w:w="930" w:type="dxa"/>
                  <w:noWrap w:val="0"/>
                  <w:vAlign w:val="center"/>
                </w:tcPr>
                <w:p>
                  <w:pPr>
                    <w:pStyle w:val="68"/>
                    <w:bidi w:val="0"/>
                    <w:rPr>
                      <w:rFonts w:hint="default"/>
                      <w:color w:val="000000" w:themeColor="text1"/>
                      <w:sz w:val="21"/>
                      <w:szCs w:val="21"/>
                      <w:lang w:eastAsia="zh-CN"/>
                      <w14:textFill>
                        <w14:solidFill>
                          <w14:schemeClr w14:val="tx1"/>
                        </w14:solidFill>
                      </w14:textFill>
                    </w:rPr>
                  </w:pPr>
                  <w:r>
                    <w:rPr>
                      <w:rFonts w:hint="default"/>
                      <w:color w:val="000000" w:themeColor="text1"/>
                      <w:sz w:val="21"/>
                      <w:szCs w:val="21"/>
                      <w:lang w:eastAsia="zh-CN"/>
                      <w14:textFill>
                        <w14:solidFill>
                          <w14:schemeClr w14:val="tx1"/>
                        </w14:solidFill>
                      </w14:textFill>
                    </w:rPr>
                    <w:t>保护对象</w:t>
                  </w:r>
                </w:p>
              </w:tc>
              <w:tc>
                <w:tcPr>
                  <w:tcW w:w="2700" w:type="dxa"/>
                  <w:noWrap w:val="0"/>
                  <w:vAlign w:val="center"/>
                </w:tcPr>
                <w:p>
                  <w:pPr>
                    <w:pStyle w:val="68"/>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noWrap w:val="0"/>
                  <w:vAlign w:val="center"/>
                </w:tcPr>
                <w:p>
                  <w:pPr>
                    <w:pStyle w:val="3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color w:val="000000" w:themeColor="text1"/>
                      <w:kern w:val="0"/>
                      <w:sz w:val="21"/>
                      <w:szCs w:val="22"/>
                      <w:lang w:val="en-US" w:eastAsia="zh-CN" w:bidi="ar-SA"/>
                      <w14:textFill>
                        <w14:solidFill>
                          <w14:schemeClr w14:val="tx1"/>
                        </w14:solidFill>
                      </w14:textFill>
                    </w:rPr>
                  </w:pPr>
                  <w:r>
                    <w:rPr>
                      <w:rFonts w:hint="eastAsia" w:cs="Times New Roman"/>
                      <w:color w:val="000000" w:themeColor="text1"/>
                      <w:kern w:val="0"/>
                      <w:sz w:val="21"/>
                      <w:szCs w:val="22"/>
                      <w:lang w:val="en-US" w:eastAsia="zh-CN" w:bidi="ar-SA"/>
                      <w14:textFill>
                        <w14:solidFill>
                          <w14:schemeClr w14:val="tx1"/>
                        </w14:solidFill>
                      </w14:textFill>
                    </w:rPr>
                    <w:t>居民点1</w:t>
                  </w:r>
                </w:p>
              </w:tc>
              <w:tc>
                <w:tcPr>
                  <w:tcW w:w="1500" w:type="dxa"/>
                  <w:noWrap w:val="0"/>
                  <w:vAlign w:val="center"/>
                </w:tcPr>
                <w:p>
                  <w:pPr>
                    <w:pStyle w:val="68"/>
                    <w:bidi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w:t>
                  </w:r>
                </w:p>
              </w:tc>
              <w:tc>
                <w:tcPr>
                  <w:tcW w:w="1530" w:type="dxa"/>
                  <w:noWrap w:val="0"/>
                  <w:vAlign w:val="center"/>
                </w:tcPr>
                <w:p>
                  <w:pPr>
                    <w:pStyle w:val="68"/>
                    <w:bidi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155.3</w:t>
                  </w:r>
                </w:p>
              </w:tc>
              <w:tc>
                <w:tcPr>
                  <w:tcW w:w="930" w:type="dxa"/>
                  <w:noWrap w:val="0"/>
                  <w:vAlign w:val="center"/>
                </w:tcPr>
                <w:p>
                  <w:pPr>
                    <w:pStyle w:val="68"/>
                    <w:bidi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居民</w:t>
                  </w:r>
                </w:p>
              </w:tc>
              <w:tc>
                <w:tcPr>
                  <w:tcW w:w="2700" w:type="dxa"/>
                  <w:noWrap w:val="0"/>
                  <w:vAlign w:val="center"/>
                </w:tcPr>
                <w:p>
                  <w:pPr>
                    <w:pStyle w:val="68"/>
                    <w:bidi w:val="0"/>
                    <w:jc w:val="center"/>
                    <w:rPr>
                      <w:rFonts w:hint="default" w:eastAsia="宋体"/>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GB3095-2012中</w:t>
                  </w:r>
                  <w:r>
                    <w:rPr>
                      <w:rFonts w:hint="eastAsia"/>
                      <w:color w:val="000000" w:themeColor="text1"/>
                      <w:sz w:val="21"/>
                      <w:szCs w:val="21"/>
                      <w:lang w:val="en-US" w:eastAsia="zh-CN"/>
                      <w14:textFill>
                        <w14:solidFill>
                          <w14:schemeClr w14:val="tx1"/>
                        </w14:solidFill>
                      </w14:textFill>
                    </w:rPr>
                    <w:t>2类功能区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noWrap w:val="0"/>
                  <w:vAlign w:val="center"/>
                </w:tcPr>
                <w:p>
                  <w:pPr>
                    <w:pStyle w:val="3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s="Times New Roman"/>
                      <w:color w:val="000000" w:themeColor="text1"/>
                      <w:kern w:val="0"/>
                      <w:sz w:val="21"/>
                      <w:szCs w:val="22"/>
                      <w:lang w:val="en-US" w:eastAsia="zh-CN" w:bidi="ar-SA"/>
                      <w14:textFill>
                        <w14:solidFill>
                          <w14:schemeClr w14:val="tx1"/>
                        </w14:solidFill>
                      </w14:textFill>
                    </w:rPr>
                  </w:pPr>
                  <w:r>
                    <w:rPr>
                      <w:rFonts w:hint="eastAsia" w:cs="Times New Roman"/>
                      <w:color w:val="000000" w:themeColor="text1"/>
                      <w:kern w:val="0"/>
                      <w:sz w:val="21"/>
                      <w:szCs w:val="22"/>
                      <w:lang w:val="en-US" w:eastAsia="zh-CN" w:bidi="ar-SA"/>
                      <w14:textFill>
                        <w14:solidFill>
                          <w14:schemeClr w14:val="tx1"/>
                        </w14:solidFill>
                      </w14:textFill>
                    </w:rPr>
                    <w:t>居民点2</w:t>
                  </w:r>
                </w:p>
              </w:tc>
              <w:tc>
                <w:tcPr>
                  <w:tcW w:w="1500" w:type="dxa"/>
                  <w:noWrap w:val="0"/>
                  <w:vAlign w:val="center"/>
                </w:tcPr>
                <w:p>
                  <w:pPr>
                    <w:pStyle w:val="68"/>
                    <w:bidi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SE</w:t>
                  </w:r>
                </w:p>
              </w:tc>
              <w:tc>
                <w:tcPr>
                  <w:tcW w:w="1530" w:type="dxa"/>
                  <w:noWrap w:val="0"/>
                  <w:vAlign w:val="center"/>
                </w:tcPr>
                <w:p>
                  <w:pPr>
                    <w:pStyle w:val="68"/>
                    <w:bidi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116.3</w:t>
                  </w:r>
                </w:p>
              </w:tc>
              <w:tc>
                <w:tcPr>
                  <w:tcW w:w="930" w:type="dxa"/>
                  <w:noWrap w:val="0"/>
                  <w:vAlign w:val="center"/>
                </w:tcPr>
                <w:p>
                  <w:pPr>
                    <w:bidi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居民</w:t>
                  </w:r>
                </w:p>
              </w:tc>
              <w:tc>
                <w:tcPr>
                  <w:tcW w:w="2700" w:type="dxa"/>
                  <w:noWrap w:val="0"/>
                  <w:vAlign w:val="center"/>
                </w:tcPr>
                <w:p>
                  <w:pPr>
                    <w:bidi w:val="0"/>
                    <w:jc w:val="center"/>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GB3095-2012中</w:t>
                  </w:r>
                  <w:r>
                    <w:rPr>
                      <w:rFonts w:hint="eastAsia"/>
                      <w:color w:val="000000" w:themeColor="text1"/>
                      <w:sz w:val="21"/>
                      <w:szCs w:val="21"/>
                      <w:lang w:val="en-US" w:eastAsia="zh-CN"/>
                      <w14:textFill>
                        <w14:solidFill>
                          <w14:schemeClr w14:val="tx1"/>
                        </w14:solidFill>
                      </w14:textFill>
                    </w:rPr>
                    <w:t>2类功能区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noWrap w:val="0"/>
                  <w:vAlign w:val="center"/>
                </w:tcPr>
                <w:p>
                  <w:pPr>
                    <w:pStyle w:val="3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s="Times New Roman"/>
                      <w:color w:val="000000" w:themeColor="text1"/>
                      <w:kern w:val="0"/>
                      <w:sz w:val="21"/>
                      <w:szCs w:val="22"/>
                      <w:lang w:val="en-US" w:eastAsia="zh-CN" w:bidi="ar-SA"/>
                      <w14:textFill>
                        <w14:solidFill>
                          <w14:schemeClr w14:val="tx1"/>
                        </w14:solidFill>
                      </w14:textFill>
                    </w:rPr>
                  </w:pPr>
                  <w:r>
                    <w:rPr>
                      <w:rFonts w:hint="eastAsia" w:cs="Times New Roman"/>
                      <w:color w:val="000000" w:themeColor="text1"/>
                      <w:kern w:val="0"/>
                      <w:sz w:val="21"/>
                      <w:szCs w:val="22"/>
                      <w:lang w:val="en-US" w:eastAsia="zh-CN" w:bidi="ar-SA"/>
                      <w14:textFill>
                        <w14:solidFill>
                          <w14:schemeClr w14:val="tx1"/>
                        </w14:solidFill>
                      </w14:textFill>
                    </w:rPr>
                    <w:t>居民点3</w:t>
                  </w:r>
                </w:p>
              </w:tc>
              <w:tc>
                <w:tcPr>
                  <w:tcW w:w="1500" w:type="dxa"/>
                  <w:noWrap w:val="0"/>
                  <w:vAlign w:val="center"/>
                </w:tcPr>
                <w:p>
                  <w:pPr>
                    <w:pStyle w:val="68"/>
                    <w:bidi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w:t>
                  </w:r>
                </w:p>
              </w:tc>
              <w:tc>
                <w:tcPr>
                  <w:tcW w:w="1530" w:type="dxa"/>
                  <w:noWrap w:val="0"/>
                  <w:vAlign w:val="center"/>
                </w:tcPr>
                <w:p>
                  <w:pPr>
                    <w:pStyle w:val="68"/>
                    <w:bidi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432.2</w:t>
                  </w:r>
                </w:p>
              </w:tc>
              <w:tc>
                <w:tcPr>
                  <w:tcW w:w="930" w:type="dxa"/>
                  <w:noWrap w:val="0"/>
                  <w:vAlign w:val="center"/>
                </w:tcPr>
                <w:p>
                  <w:pPr>
                    <w:bidi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居民</w:t>
                  </w:r>
                </w:p>
              </w:tc>
              <w:tc>
                <w:tcPr>
                  <w:tcW w:w="2700" w:type="dxa"/>
                  <w:noWrap w:val="0"/>
                  <w:vAlign w:val="center"/>
                </w:tcPr>
                <w:p>
                  <w:pPr>
                    <w:bidi w:val="0"/>
                    <w:jc w:val="center"/>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GB3095-2012中</w:t>
                  </w:r>
                  <w:r>
                    <w:rPr>
                      <w:rFonts w:hint="eastAsia"/>
                      <w:color w:val="000000" w:themeColor="text1"/>
                      <w:sz w:val="21"/>
                      <w:szCs w:val="21"/>
                      <w:lang w:val="en-US" w:eastAsia="zh-CN"/>
                      <w14:textFill>
                        <w14:solidFill>
                          <w14:schemeClr w14:val="tx1"/>
                        </w14:solidFill>
                      </w14:textFill>
                    </w:rPr>
                    <w:t>2类功能区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noWrap w:val="0"/>
                  <w:vAlign w:val="center"/>
                </w:tcPr>
                <w:p>
                  <w:pPr>
                    <w:pStyle w:val="3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s="Times New Roman"/>
                      <w:color w:val="000000" w:themeColor="text1"/>
                      <w:kern w:val="0"/>
                      <w:sz w:val="21"/>
                      <w:szCs w:val="22"/>
                      <w:lang w:val="en-US" w:eastAsia="zh-CN" w:bidi="ar-SA"/>
                      <w14:textFill>
                        <w14:solidFill>
                          <w14:schemeClr w14:val="tx1"/>
                        </w14:solidFill>
                      </w14:textFill>
                    </w:rPr>
                  </w:pPr>
                  <w:r>
                    <w:rPr>
                      <w:rFonts w:hint="eastAsia" w:cs="Times New Roman"/>
                      <w:color w:val="000000" w:themeColor="text1"/>
                      <w:kern w:val="0"/>
                      <w:sz w:val="21"/>
                      <w:szCs w:val="22"/>
                      <w:lang w:val="en-US" w:eastAsia="zh-CN" w:bidi="ar-SA"/>
                      <w14:textFill>
                        <w14:solidFill>
                          <w14:schemeClr w14:val="tx1"/>
                        </w14:solidFill>
                      </w14:textFill>
                    </w:rPr>
                    <w:t>居民点4</w:t>
                  </w:r>
                </w:p>
              </w:tc>
              <w:tc>
                <w:tcPr>
                  <w:tcW w:w="1500" w:type="dxa"/>
                  <w:noWrap w:val="0"/>
                  <w:vAlign w:val="center"/>
                </w:tcPr>
                <w:p>
                  <w:pPr>
                    <w:pStyle w:val="68"/>
                    <w:bidi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w:t>
                  </w:r>
                </w:p>
              </w:tc>
              <w:tc>
                <w:tcPr>
                  <w:tcW w:w="1530" w:type="dxa"/>
                  <w:noWrap w:val="0"/>
                  <w:vAlign w:val="center"/>
                </w:tcPr>
                <w:p>
                  <w:pPr>
                    <w:pStyle w:val="68"/>
                    <w:bidi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136.4</w:t>
                  </w:r>
                </w:p>
              </w:tc>
              <w:tc>
                <w:tcPr>
                  <w:tcW w:w="930" w:type="dxa"/>
                  <w:noWrap w:val="0"/>
                  <w:vAlign w:val="center"/>
                </w:tcPr>
                <w:p>
                  <w:pPr>
                    <w:bidi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居民</w:t>
                  </w:r>
                </w:p>
              </w:tc>
              <w:tc>
                <w:tcPr>
                  <w:tcW w:w="2700" w:type="dxa"/>
                  <w:noWrap w:val="0"/>
                  <w:vAlign w:val="center"/>
                </w:tcPr>
                <w:p>
                  <w:pPr>
                    <w:bidi w:val="0"/>
                    <w:jc w:val="center"/>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GB3095-2012中</w:t>
                  </w:r>
                  <w:r>
                    <w:rPr>
                      <w:rFonts w:hint="eastAsia"/>
                      <w:color w:val="000000" w:themeColor="text1"/>
                      <w:sz w:val="21"/>
                      <w:szCs w:val="21"/>
                      <w:lang w:val="en-US" w:eastAsia="zh-CN"/>
                      <w14:textFill>
                        <w14:solidFill>
                          <w14:schemeClr w14:val="tx1"/>
                        </w14:solidFill>
                      </w14:textFill>
                    </w:rPr>
                    <w:t>2类功能区</w:t>
                  </w:r>
                </w:p>
              </w:tc>
            </w:tr>
          </w:tbl>
          <w:p>
            <w:pPr>
              <w:pStyle w:val="72"/>
              <w:keepNext w:val="0"/>
              <w:keepLines w:val="0"/>
              <w:pageBreakBefore w:val="0"/>
              <w:widowControl/>
              <w:kinsoku/>
              <w:wordWrap/>
              <w:overflowPunct/>
              <w:topLinePunct w:val="0"/>
              <w:autoSpaceDE/>
              <w:autoSpaceDN/>
              <w:bidi w:val="0"/>
              <w:adjustRightInd/>
              <w:snapToGrid/>
              <w:spacing w:before="40"/>
              <w:textAlignment w:val="auto"/>
              <w:rPr>
                <w:rFonts w:hint="default"/>
                <w:b/>
                <w:bCs/>
                <w:color w:val="auto"/>
                <w:lang w:val="en-US" w:eastAsia="zh-CN"/>
              </w:rPr>
            </w:pPr>
            <w:r>
              <w:rPr>
                <w:rFonts w:hint="eastAsia"/>
                <w:b/>
                <w:bCs/>
                <w:color w:val="auto"/>
                <w:lang w:val="en-US" w:eastAsia="zh-CN"/>
              </w:rPr>
              <w:t>2、声环境</w:t>
            </w:r>
          </w:p>
          <w:p>
            <w:pPr>
              <w:pStyle w:val="72"/>
              <w:bidi w:val="0"/>
              <w:rPr>
                <w:rFonts w:hint="eastAsia"/>
                <w:color w:val="auto"/>
                <w:lang w:eastAsia="zh-CN"/>
              </w:rPr>
            </w:pPr>
            <w:r>
              <w:rPr>
                <w:rFonts w:hint="eastAsia"/>
                <w:color w:val="auto"/>
                <w:lang w:val="en-US" w:eastAsia="zh-CN"/>
              </w:rPr>
              <w:t>本</w:t>
            </w:r>
            <w:r>
              <w:rPr>
                <w:rFonts w:hint="eastAsia"/>
                <w:color w:val="auto"/>
                <w:lang w:eastAsia="zh-CN"/>
              </w:rPr>
              <w:t>项目厂界外</w:t>
            </w:r>
            <w:r>
              <w:rPr>
                <w:rFonts w:hint="eastAsia"/>
                <w:color w:val="auto"/>
                <w:lang w:val="en-US" w:eastAsia="zh-CN"/>
              </w:rPr>
              <w:t>50</w:t>
            </w:r>
            <w:r>
              <w:rPr>
                <w:rFonts w:hint="eastAsia"/>
                <w:color w:val="auto"/>
                <w:lang w:eastAsia="zh-CN"/>
              </w:rPr>
              <w:t>米范围内无声环境保护目标。</w:t>
            </w:r>
          </w:p>
          <w:p>
            <w:pPr>
              <w:pStyle w:val="72"/>
              <w:bidi w:val="0"/>
              <w:rPr>
                <w:rFonts w:hint="eastAsia"/>
                <w:b/>
                <w:bCs/>
                <w:color w:val="auto"/>
                <w:lang w:eastAsia="zh-CN"/>
              </w:rPr>
            </w:pPr>
            <w:r>
              <w:rPr>
                <w:rFonts w:hint="eastAsia"/>
                <w:b/>
                <w:bCs/>
                <w:color w:val="auto"/>
                <w:lang w:eastAsia="zh-CN"/>
              </w:rPr>
              <w:t>3、地下水环境保护目标</w:t>
            </w:r>
          </w:p>
          <w:p>
            <w:pPr>
              <w:pStyle w:val="72"/>
              <w:bidi w:val="0"/>
              <w:rPr>
                <w:rFonts w:hint="eastAsia"/>
                <w:color w:val="auto"/>
                <w:lang w:eastAsia="zh-CN"/>
              </w:rPr>
            </w:pPr>
            <w:r>
              <w:rPr>
                <w:rFonts w:hint="eastAsia"/>
                <w:color w:val="auto"/>
                <w:lang w:val="en-US" w:eastAsia="zh-CN"/>
              </w:rPr>
              <w:t>本</w:t>
            </w:r>
            <w:r>
              <w:rPr>
                <w:rFonts w:hint="eastAsia"/>
                <w:color w:val="auto"/>
                <w:lang w:eastAsia="zh-CN"/>
              </w:rPr>
              <w:t>项目厂界外500m范围内无地下水集中式水源和热水、矿泉水、温泉等特殊地下水资源。</w:t>
            </w:r>
          </w:p>
          <w:p>
            <w:pPr>
              <w:pStyle w:val="72"/>
              <w:bidi w:val="0"/>
              <w:rPr>
                <w:rFonts w:hint="eastAsia"/>
                <w:b/>
                <w:bCs/>
                <w:color w:val="auto"/>
                <w:lang w:eastAsia="zh-CN"/>
              </w:rPr>
            </w:pPr>
            <w:r>
              <w:rPr>
                <w:rFonts w:hint="eastAsia"/>
                <w:b/>
                <w:bCs/>
                <w:color w:val="auto"/>
                <w:lang w:eastAsia="zh-CN"/>
              </w:rPr>
              <w:t>4、生态环境保护目标</w:t>
            </w:r>
          </w:p>
          <w:p>
            <w:pPr>
              <w:pStyle w:val="72"/>
              <w:bidi w:val="0"/>
              <w:rPr>
                <w:rFonts w:hint="eastAsia"/>
                <w:b w:val="0"/>
                <w:bCs w:val="0"/>
                <w:color w:val="auto"/>
                <w:lang w:val="en-US" w:eastAsia="zh-CN"/>
              </w:rPr>
            </w:pPr>
            <w:r>
              <w:rPr>
                <w:rFonts w:hint="eastAsia"/>
                <w:b w:val="0"/>
                <w:bCs w:val="0"/>
                <w:color w:val="auto"/>
                <w:lang w:val="en-US" w:eastAsia="zh-CN"/>
              </w:rPr>
              <w:t>本项目用地范围内无生态环境保护目标。</w:t>
            </w:r>
          </w:p>
          <w:p>
            <w:pPr>
              <w:pStyle w:val="72"/>
              <w:bidi w:val="0"/>
              <w:rPr>
                <w:rFonts w:hint="eastAsia"/>
                <w:b w:val="0"/>
                <w:bCs w:val="0"/>
                <w:lang w:val="en-US" w:eastAsia="zh-CN"/>
              </w:rPr>
            </w:pPr>
          </w:p>
          <w:p>
            <w:pPr>
              <w:pStyle w:val="72"/>
              <w:bidi w:val="0"/>
              <w:rPr>
                <w:rFonts w:hint="eastAsia"/>
                <w:b w:val="0"/>
                <w:bCs w:val="0"/>
                <w:lang w:val="en-US" w:eastAsia="zh-CN"/>
              </w:rPr>
            </w:pPr>
          </w:p>
          <w:p>
            <w:pPr>
              <w:pStyle w:val="72"/>
              <w:bidi w:val="0"/>
              <w:spacing w:line="360" w:lineRule="auto"/>
              <w:rPr>
                <w:rFonts w:hint="eastAsia"/>
                <w:b w:val="0"/>
                <w:bCs w:val="0"/>
                <w:lang w:val="en-US" w:eastAsia="zh-CN"/>
              </w:rPr>
            </w:pPr>
          </w:p>
          <w:p>
            <w:pPr>
              <w:pStyle w:val="72"/>
              <w:bidi w:val="0"/>
              <w:spacing w:line="360" w:lineRule="auto"/>
              <w:rPr>
                <w:rFonts w:hint="eastAsia"/>
                <w:b w:val="0"/>
                <w:bCs w:val="0"/>
                <w:lang w:val="en-US" w:eastAsia="zh-CN"/>
              </w:rPr>
            </w:pPr>
          </w:p>
          <w:p>
            <w:pPr>
              <w:pStyle w:val="72"/>
              <w:bidi w:val="0"/>
              <w:spacing w:line="360" w:lineRule="auto"/>
              <w:rPr>
                <w:rFonts w:hint="eastAsia"/>
                <w:b w:val="0"/>
                <w:bCs w:val="0"/>
                <w:lang w:val="en-US" w:eastAsia="zh-CN"/>
              </w:rPr>
            </w:pPr>
          </w:p>
          <w:p>
            <w:pPr>
              <w:pStyle w:val="72"/>
              <w:bidi w:val="0"/>
              <w:spacing w:line="360" w:lineRule="auto"/>
              <w:rPr>
                <w:rFonts w:hint="eastAsia"/>
                <w:b w:val="0"/>
                <w:bCs w:val="0"/>
                <w:lang w:val="en-US" w:eastAsia="zh-CN"/>
              </w:rPr>
            </w:pPr>
          </w:p>
          <w:p>
            <w:pPr>
              <w:pStyle w:val="72"/>
              <w:bidi w:val="0"/>
              <w:ind w:left="0" w:leftChars="0" w:firstLine="0" w:firstLineChars="0"/>
              <w:rPr>
                <w:rFonts w:hint="eastAsia"/>
                <w:b w:val="0"/>
                <w:bCs w:val="0"/>
                <w:lang w:val="en-US" w:eastAsia="zh-CN"/>
              </w:rPr>
            </w:pPr>
          </w:p>
        </w:tc>
      </w:tr>
    </w:tbl>
    <w:p>
      <w:pPr>
        <w:pStyle w:val="24"/>
        <w:keepNext w:val="0"/>
        <w:keepLines w:val="0"/>
        <w:pageBreakBefore w:val="0"/>
        <w:widowControl/>
        <w:kinsoku/>
        <w:wordWrap/>
        <w:overflowPunct/>
        <w:topLinePunct w:val="0"/>
        <w:autoSpaceDE/>
        <w:autoSpaceDN/>
        <w:bidi w:val="0"/>
        <w:adjustRightInd/>
        <w:snapToGrid/>
        <w:spacing w:before="120" w:beforeAutospacing="0" w:after="160" w:afterAutospacing="0"/>
        <w:jc w:val="both"/>
        <w:textAlignment w:val="auto"/>
        <w:outlineLvl w:val="0"/>
        <w:rPr>
          <w:rFonts w:ascii="黑体" w:hAnsi="黑体" w:eastAsia="黑体"/>
          <w:snapToGrid w:val="0"/>
          <w:sz w:val="36"/>
          <w:szCs w:val="36"/>
        </w:rPr>
        <w:sectPr>
          <w:pgSz w:w="11907" w:h="16840"/>
          <w:pgMar w:top="1701" w:right="1531" w:bottom="2126" w:left="1531" w:header="851" w:footer="1474" w:gutter="0"/>
          <w:pgBorders>
            <w:top w:val="none" w:sz="0" w:space="0"/>
            <w:left w:val="none" w:sz="0" w:space="0"/>
            <w:bottom w:val="none" w:sz="0" w:space="0"/>
            <w:right w:val="none" w:sz="0" w:space="0"/>
          </w:pgBorders>
          <w:pgNumType w:fmt="numberInDash"/>
          <w:cols w:space="720" w:num="1"/>
          <w:rtlGutter w:val="0"/>
          <w:docGrid w:type="lines" w:linePitch="312" w:charSpace="0"/>
        </w:sectPr>
      </w:pP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081" w:hRule="atLeast"/>
          <w:jc w:val="center"/>
        </w:trPr>
        <w:tc>
          <w:tcPr>
            <w:tcW w:w="800" w:type="dxa"/>
            <w:noWrap w:val="0"/>
            <w:tcMar>
              <w:left w:w="28" w:type="dxa"/>
              <w:right w:w="28" w:type="dxa"/>
            </w:tcMar>
            <w:vAlign w:val="center"/>
          </w:tcPr>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污染</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物排</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放控</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制标</w:t>
            </w:r>
          </w:p>
          <w:p>
            <w:pPr>
              <w:adjustRightInd w:val="0"/>
              <w:snapToGrid w:val="0"/>
              <w:jc w:val="center"/>
              <w:rPr>
                <w:rFonts w:ascii="宋体" w:hAnsi="宋体" w:cs="宋体"/>
                <w:kern w:val="0"/>
                <w:szCs w:val="21"/>
              </w:rPr>
            </w:pPr>
            <w:r>
              <w:rPr>
                <w:rFonts w:hint="eastAsia" w:ascii="宋体" w:hAnsi="宋体" w:cs="宋体"/>
                <w:kern w:val="0"/>
                <w:sz w:val="24"/>
                <w:szCs w:val="24"/>
              </w:rPr>
              <w:t>准</w:t>
            </w:r>
          </w:p>
        </w:tc>
        <w:tc>
          <w:tcPr>
            <w:tcW w:w="8190" w:type="dxa"/>
            <w:noWrap w:val="0"/>
            <w:vAlign w:val="center"/>
          </w:tcPr>
          <w:p>
            <w:pPr>
              <w:pStyle w:val="72"/>
              <w:bidi w:val="0"/>
              <w:rPr>
                <w:b/>
                <w:bCs/>
                <w:color w:val="auto"/>
              </w:rPr>
            </w:pPr>
            <w:r>
              <w:rPr>
                <w:rFonts w:hint="eastAsia"/>
                <w:b/>
                <w:bCs/>
                <w:color w:val="auto"/>
                <w:lang w:val="en-US" w:eastAsia="zh-CN"/>
              </w:rPr>
              <w:t>1 、</w:t>
            </w:r>
            <w:r>
              <w:rPr>
                <w:b/>
                <w:bCs/>
                <w:color w:val="auto"/>
              </w:rPr>
              <w:t>废气排放标准</w:t>
            </w:r>
          </w:p>
          <w:p>
            <w:pPr>
              <w:pStyle w:val="72"/>
              <w:bidi w:val="0"/>
              <w:rPr>
                <w:rFonts w:hint="default"/>
                <w:color w:val="auto"/>
                <w:lang w:val="en-US" w:eastAsia="zh-CN"/>
              </w:rPr>
            </w:pPr>
            <w:bookmarkStart w:id="11" w:name="_Hlk41608178"/>
            <w:r>
              <w:rPr>
                <w:rFonts w:hint="eastAsia"/>
                <w:color w:val="auto"/>
                <w:lang w:val="en-US" w:eastAsia="zh-CN"/>
              </w:rPr>
              <w:t>本项目熔练、制芯、浇注、落砂及砂处理、抛丸清理等工序产生的颗粒物执行《铸造工业大气污染物排放标准》（</w:t>
            </w:r>
            <w:r>
              <w:rPr>
                <w:rFonts w:hint="default"/>
                <w:color w:val="auto"/>
                <w:lang w:val="en-US" w:eastAsia="zh-CN"/>
              </w:rPr>
              <w:t>GB39726-2020</w:t>
            </w:r>
            <w:r>
              <w:rPr>
                <w:rFonts w:hint="eastAsia"/>
                <w:color w:val="auto"/>
                <w:lang w:val="en-US" w:eastAsia="zh-CN"/>
              </w:rPr>
              <w:t xml:space="preserve">）表 </w:t>
            </w:r>
            <w:r>
              <w:rPr>
                <w:rFonts w:hint="default"/>
                <w:color w:val="auto"/>
                <w:lang w:val="en-US" w:eastAsia="zh-CN"/>
              </w:rPr>
              <w:t xml:space="preserve">1 </w:t>
            </w:r>
            <w:r>
              <w:rPr>
                <w:rFonts w:hint="eastAsia"/>
                <w:color w:val="auto"/>
                <w:lang w:val="en-US" w:eastAsia="zh-CN"/>
              </w:rPr>
              <w:t>排放限值；厂区内颗粒物、VOCs无组织排放监控点浓度执行表A.1规定的限值；</w:t>
            </w:r>
          </w:p>
          <w:p>
            <w:pPr>
              <w:pStyle w:val="72"/>
              <w:bidi w:val="0"/>
              <w:rPr>
                <w:rFonts w:hint="eastAsia"/>
                <w:color w:val="auto"/>
                <w:lang w:val="en-US" w:eastAsia="zh-CN"/>
              </w:rPr>
            </w:pPr>
            <w:r>
              <w:rPr>
                <w:rFonts w:hint="eastAsia"/>
                <w:color w:val="auto"/>
                <w:lang w:val="en-US" w:eastAsia="zh-CN"/>
              </w:rPr>
              <w:t>冷芯盒射制芯工段产生的恶臭执行《恶臭污染物排放标准》（GB14554-93）相应标准。</w:t>
            </w:r>
          </w:p>
          <w:p>
            <w:pPr>
              <w:pStyle w:val="70"/>
              <w:bidi w:val="0"/>
              <w:rPr>
                <w:rFonts w:hint="default"/>
                <w:color w:val="auto"/>
                <w:lang w:val="en-US" w:eastAsia="zh-CN"/>
              </w:rPr>
            </w:pPr>
            <w:r>
              <w:rPr>
                <w:rFonts w:hint="eastAsia"/>
                <w:color w:val="auto"/>
              </w:rPr>
              <w:t>表</w:t>
            </w:r>
            <w:r>
              <w:rPr>
                <w:rFonts w:hint="eastAsia"/>
                <w:color w:val="auto"/>
                <w:lang w:val="en-US" w:eastAsia="zh-CN"/>
              </w:rPr>
              <w:t>3-4 大气</w:t>
            </w:r>
            <w:r>
              <w:rPr>
                <w:color w:val="auto"/>
              </w:rPr>
              <w:t>污染物排放</w:t>
            </w:r>
            <w:r>
              <w:rPr>
                <w:rFonts w:hint="eastAsia"/>
                <w:color w:val="auto"/>
                <w:lang w:eastAsia="zh-CN"/>
              </w:rPr>
              <w:t>限值</w:t>
            </w:r>
            <w:r>
              <w:rPr>
                <w:rFonts w:hint="eastAsia"/>
                <w:color w:val="auto"/>
                <w:lang w:val="en-US" w:eastAsia="zh-CN"/>
              </w:rPr>
              <w:t xml:space="preserve">  单位：</w:t>
            </w:r>
            <w:r>
              <w:rPr>
                <w:color w:val="auto"/>
                <w:sz w:val="21"/>
                <w:szCs w:val="21"/>
              </w:rPr>
              <w:t>mg/m</w:t>
            </w:r>
            <w:r>
              <w:rPr>
                <w:color w:val="auto"/>
                <w:sz w:val="21"/>
                <w:szCs w:val="21"/>
                <w:vertAlign w:val="superscript"/>
              </w:rPr>
              <w:t>3</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
            <w:tblGrid>
              <w:gridCol w:w="1385"/>
              <w:gridCol w:w="1455"/>
              <w:gridCol w:w="2460"/>
              <w:gridCol w:w="2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trHeight w:val="340" w:hRule="atLeast"/>
                <w:jc w:val="center"/>
              </w:trPr>
              <w:tc>
                <w:tcPr>
                  <w:tcW w:w="1385" w:type="dxa"/>
                  <w:tcBorders>
                    <w:tl2br w:val="nil"/>
                    <w:tr2bl w:val="nil"/>
                  </w:tcBorders>
                  <w:noWrap w:val="0"/>
                  <w:vAlign w:val="center"/>
                </w:tcPr>
                <w:p>
                  <w:pPr>
                    <w:pStyle w:val="91"/>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kern w:val="2"/>
                      <w:sz w:val="21"/>
                      <w:szCs w:val="20"/>
                      <w:lang w:val="en-US" w:eastAsia="zh-CN" w:bidi="ar-SA"/>
                    </w:rPr>
                  </w:pPr>
                  <w:r>
                    <w:rPr>
                      <w:rFonts w:hint="default"/>
                      <w:color w:val="auto"/>
                      <w:lang w:val="en-US" w:eastAsia="zh-CN"/>
                    </w:rPr>
                    <w:t>污染物</w:t>
                  </w:r>
                </w:p>
              </w:tc>
              <w:tc>
                <w:tcPr>
                  <w:tcW w:w="1455" w:type="dxa"/>
                  <w:tcBorders>
                    <w:tl2br w:val="nil"/>
                    <w:tr2bl w:val="nil"/>
                  </w:tcBorders>
                  <w:noWrap w:val="0"/>
                  <w:vAlign w:val="center"/>
                </w:tcPr>
                <w:p>
                  <w:pPr>
                    <w:pStyle w:val="91"/>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kern w:val="2"/>
                      <w:sz w:val="21"/>
                      <w:szCs w:val="20"/>
                      <w:lang w:val="en-US" w:eastAsia="zh-CN" w:bidi="ar-SA"/>
                    </w:rPr>
                  </w:pPr>
                  <w:r>
                    <w:rPr>
                      <w:rFonts w:hint="default"/>
                      <w:color w:val="auto"/>
                      <w:lang w:val="en-US" w:eastAsia="zh-CN"/>
                    </w:rPr>
                    <w:t>排放</w:t>
                  </w:r>
                  <w:r>
                    <w:rPr>
                      <w:rFonts w:hint="eastAsia"/>
                      <w:color w:val="auto"/>
                      <w:lang w:val="en-US" w:eastAsia="zh-CN"/>
                    </w:rPr>
                    <w:t>限值</w:t>
                  </w:r>
                </w:p>
              </w:tc>
              <w:tc>
                <w:tcPr>
                  <w:tcW w:w="2460" w:type="dxa"/>
                  <w:tcBorders>
                    <w:tl2br w:val="nil"/>
                    <w:tr2bl w:val="nil"/>
                  </w:tcBorders>
                  <w:noWrap w:val="0"/>
                  <w:vAlign w:val="center"/>
                </w:tcPr>
                <w:p>
                  <w:pPr>
                    <w:pStyle w:val="91"/>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color w:val="auto"/>
                      <w:lang w:val="en-US" w:eastAsia="zh-CN"/>
                    </w:rPr>
                  </w:pPr>
                  <w:r>
                    <w:rPr>
                      <w:rFonts w:hint="eastAsia"/>
                      <w:color w:val="auto"/>
                      <w:lang w:val="en-US" w:eastAsia="zh-CN"/>
                    </w:rPr>
                    <w:t>污染物排放监控位置</w:t>
                  </w:r>
                </w:p>
              </w:tc>
              <w:tc>
                <w:tcPr>
                  <w:tcW w:w="2664" w:type="dxa"/>
                  <w:tcBorders>
                    <w:tl2br w:val="nil"/>
                    <w:tr2bl w:val="nil"/>
                  </w:tcBorders>
                  <w:noWrap w:val="0"/>
                  <w:vAlign w:val="center"/>
                </w:tcPr>
                <w:p>
                  <w:pPr>
                    <w:pStyle w:val="91"/>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color w:val="auto"/>
                      <w:lang w:val="en-US" w:eastAsia="zh-CN"/>
                    </w:rPr>
                  </w:pPr>
                  <w:r>
                    <w:rPr>
                      <w:rFonts w:hint="eastAsia"/>
                      <w:color w:val="auto"/>
                      <w:lang w:val="en-US" w:eastAsia="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trHeight w:val="90" w:hRule="atLeast"/>
                <w:jc w:val="center"/>
              </w:trPr>
              <w:tc>
                <w:tcPr>
                  <w:tcW w:w="1385" w:type="dxa"/>
                  <w:tcBorders>
                    <w:tl2br w:val="nil"/>
                    <w:tr2bl w:val="nil"/>
                  </w:tcBorders>
                  <w:noWrap w:val="0"/>
                  <w:vAlign w:val="center"/>
                </w:tcPr>
                <w:p>
                  <w:pPr>
                    <w:pStyle w:val="91"/>
                    <w:bidi w:val="0"/>
                    <w:rPr>
                      <w:rFonts w:hint="eastAsia" w:ascii="Times New Roman" w:hAnsi="Times New Roman" w:eastAsia="宋体" w:cs="Times New Roman"/>
                      <w:color w:val="auto"/>
                      <w:kern w:val="2"/>
                      <w:sz w:val="21"/>
                      <w:szCs w:val="20"/>
                      <w:lang w:val="en-US" w:eastAsia="zh-CN" w:bidi="ar-SA"/>
                    </w:rPr>
                  </w:pPr>
                  <w:r>
                    <w:rPr>
                      <w:color w:val="auto"/>
                      <w:sz w:val="21"/>
                      <w:szCs w:val="21"/>
                    </w:rPr>
                    <w:t>颗粒物</w:t>
                  </w:r>
                </w:p>
              </w:tc>
              <w:tc>
                <w:tcPr>
                  <w:tcW w:w="1455" w:type="dxa"/>
                  <w:tcBorders>
                    <w:tl2br w:val="nil"/>
                    <w:tr2bl w:val="nil"/>
                  </w:tcBorders>
                  <w:noWrap w:val="0"/>
                  <w:vAlign w:val="center"/>
                </w:tcPr>
                <w:p>
                  <w:pPr>
                    <w:pStyle w:val="91"/>
                    <w:bidi w:val="0"/>
                    <w:rPr>
                      <w:rFonts w:hint="eastAsia" w:ascii="Times New Roman" w:hAnsi="Times New Roman" w:eastAsia="宋体" w:cs="Times New Roman"/>
                      <w:color w:val="auto"/>
                      <w:kern w:val="2"/>
                      <w:sz w:val="21"/>
                      <w:szCs w:val="20"/>
                      <w:lang w:val="en-US" w:eastAsia="zh-CN" w:bidi="ar-SA"/>
                    </w:rPr>
                  </w:pPr>
                  <w:r>
                    <w:rPr>
                      <w:rFonts w:hint="eastAsia"/>
                      <w:color w:val="auto"/>
                      <w:sz w:val="21"/>
                      <w:szCs w:val="21"/>
                      <w:lang w:val="en-US" w:eastAsia="zh-CN"/>
                    </w:rPr>
                    <w:t>30</w:t>
                  </w:r>
                </w:p>
              </w:tc>
              <w:tc>
                <w:tcPr>
                  <w:tcW w:w="2460" w:type="dxa"/>
                  <w:tcBorders>
                    <w:tl2br w:val="nil"/>
                    <w:tr2bl w:val="nil"/>
                  </w:tcBorders>
                  <w:noWrap w:val="0"/>
                  <w:vAlign w:val="center"/>
                </w:tcPr>
                <w:p>
                  <w:pPr>
                    <w:pStyle w:val="91"/>
                    <w:bidi w:val="0"/>
                    <w:rPr>
                      <w:rFonts w:hint="default"/>
                      <w:color w:val="auto"/>
                      <w:kern w:val="2"/>
                      <w:sz w:val="21"/>
                      <w:szCs w:val="20"/>
                      <w:lang w:val="en-US" w:eastAsia="zh-CN" w:bidi="ar-SA"/>
                    </w:rPr>
                  </w:pPr>
                  <w:r>
                    <w:rPr>
                      <w:rFonts w:hint="eastAsia"/>
                      <w:color w:val="auto"/>
                      <w:sz w:val="21"/>
                      <w:szCs w:val="21"/>
                      <w:lang w:val="en-US" w:eastAsia="zh-CN"/>
                    </w:rPr>
                    <w:t>车间或生产设施排气筒</w:t>
                  </w:r>
                </w:p>
              </w:tc>
              <w:tc>
                <w:tcPr>
                  <w:tcW w:w="2664" w:type="dxa"/>
                  <w:vMerge w:val="restart"/>
                  <w:tcBorders>
                    <w:tl2br w:val="nil"/>
                    <w:tr2bl w:val="nil"/>
                  </w:tcBorders>
                  <w:noWrap w:val="0"/>
                  <w:vAlign w:val="center"/>
                </w:tcPr>
                <w:p>
                  <w:pPr>
                    <w:keepNext w:val="0"/>
                    <w:keepLines w:val="0"/>
                    <w:widowControl/>
                    <w:suppressLineNumbers w:val="0"/>
                    <w:jc w:val="center"/>
                    <w:rPr>
                      <w:rFonts w:hint="eastAsia"/>
                      <w:color w:val="auto"/>
                      <w:sz w:val="21"/>
                      <w:szCs w:val="21"/>
                      <w:lang w:val="en-US" w:eastAsia="zh-CN"/>
                    </w:rPr>
                  </w:pPr>
                  <w:r>
                    <w:rPr>
                      <w:rFonts w:hint="eastAsia" w:ascii="宋体" w:hAnsi="宋体" w:eastAsia="宋体" w:cs="宋体"/>
                      <w:color w:val="auto"/>
                      <w:kern w:val="0"/>
                      <w:sz w:val="21"/>
                      <w:szCs w:val="21"/>
                      <w:lang w:val="en-US" w:eastAsia="zh-CN" w:bidi="ar"/>
                    </w:rPr>
                    <w:t>《铸造工业大气污染物排放标准》 （</w:t>
                  </w:r>
                  <w:r>
                    <w:rPr>
                      <w:rFonts w:hint="default" w:ascii="Times New Roman" w:hAnsi="Times New Roman" w:eastAsia="宋体" w:cs="Times New Roman"/>
                      <w:color w:val="auto"/>
                      <w:kern w:val="0"/>
                      <w:sz w:val="21"/>
                      <w:szCs w:val="21"/>
                      <w:lang w:val="en-US" w:eastAsia="zh-CN" w:bidi="ar"/>
                    </w:rPr>
                    <w:t>GB39726-2020</w:t>
                  </w:r>
                  <w:r>
                    <w:rPr>
                      <w:rFonts w:hint="eastAsia" w:ascii="宋体" w:hAnsi="宋体" w:eastAsia="宋体" w:cs="宋体"/>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trHeight w:val="340" w:hRule="atLeast"/>
                <w:jc w:val="center"/>
              </w:trPr>
              <w:tc>
                <w:tcPr>
                  <w:tcW w:w="1385" w:type="dxa"/>
                  <w:tcBorders>
                    <w:tl2br w:val="nil"/>
                    <w:tr2bl w:val="nil"/>
                  </w:tcBorders>
                  <w:noWrap w:val="0"/>
                  <w:vAlign w:val="center"/>
                </w:tcPr>
                <w:p>
                  <w:pPr>
                    <w:pStyle w:val="91"/>
                    <w:bidi w:val="0"/>
                    <w:rPr>
                      <w:rFonts w:hint="default" w:eastAsia="宋体"/>
                      <w:color w:val="auto"/>
                      <w:sz w:val="21"/>
                      <w:szCs w:val="21"/>
                      <w:lang w:val="en-US" w:eastAsia="zh-CN"/>
                    </w:rPr>
                  </w:pPr>
                  <w:r>
                    <w:rPr>
                      <w:rFonts w:hint="eastAsia"/>
                      <w:color w:val="auto"/>
                      <w:sz w:val="21"/>
                      <w:szCs w:val="21"/>
                      <w:lang w:val="en-US" w:eastAsia="zh-CN"/>
                    </w:rPr>
                    <w:t>颗粒物</w:t>
                  </w:r>
                </w:p>
              </w:tc>
              <w:tc>
                <w:tcPr>
                  <w:tcW w:w="1455" w:type="dxa"/>
                  <w:tcBorders>
                    <w:tl2br w:val="nil"/>
                    <w:tr2bl w:val="nil"/>
                  </w:tcBorders>
                  <w:noWrap w:val="0"/>
                  <w:vAlign w:val="center"/>
                </w:tcPr>
                <w:p>
                  <w:pPr>
                    <w:pStyle w:val="91"/>
                    <w:bidi w:val="0"/>
                    <w:rPr>
                      <w:rFonts w:hint="default"/>
                      <w:color w:val="auto"/>
                      <w:sz w:val="21"/>
                      <w:szCs w:val="21"/>
                      <w:lang w:val="en-US" w:eastAsia="zh-CN"/>
                    </w:rPr>
                  </w:pPr>
                  <w:r>
                    <w:rPr>
                      <w:rFonts w:hint="eastAsia"/>
                      <w:color w:val="auto"/>
                      <w:sz w:val="21"/>
                      <w:szCs w:val="21"/>
                      <w:lang w:val="en-US" w:eastAsia="zh-CN"/>
                    </w:rPr>
                    <w:t>5</w:t>
                  </w:r>
                </w:p>
              </w:tc>
              <w:tc>
                <w:tcPr>
                  <w:tcW w:w="2460" w:type="dxa"/>
                  <w:tcBorders>
                    <w:tl2br w:val="nil"/>
                    <w:tr2bl w:val="nil"/>
                  </w:tcBorders>
                  <w:noWrap w:val="0"/>
                  <w:vAlign w:val="center"/>
                </w:tcPr>
                <w:p>
                  <w:pPr>
                    <w:pStyle w:val="91"/>
                    <w:bidi w:val="0"/>
                    <w:rPr>
                      <w:rFonts w:hint="default"/>
                      <w:color w:val="auto"/>
                      <w:sz w:val="21"/>
                      <w:szCs w:val="21"/>
                      <w:lang w:val="en-US" w:eastAsia="zh-CN"/>
                    </w:rPr>
                  </w:pPr>
                  <w:r>
                    <w:rPr>
                      <w:rFonts w:hint="eastAsia"/>
                      <w:color w:val="auto"/>
                      <w:sz w:val="21"/>
                      <w:szCs w:val="21"/>
                      <w:lang w:val="en-US" w:eastAsia="zh-CN"/>
                    </w:rPr>
                    <w:t>监控点处1h平均浓度值</w:t>
                  </w:r>
                </w:p>
              </w:tc>
              <w:tc>
                <w:tcPr>
                  <w:tcW w:w="2664" w:type="dxa"/>
                  <w:vMerge w:val="continue"/>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trHeight w:val="340" w:hRule="atLeast"/>
                <w:jc w:val="center"/>
              </w:trPr>
              <w:tc>
                <w:tcPr>
                  <w:tcW w:w="1385" w:type="dxa"/>
                  <w:tcBorders>
                    <w:tl2br w:val="nil"/>
                    <w:tr2bl w:val="nil"/>
                  </w:tcBorders>
                  <w:noWrap w:val="0"/>
                  <w:vAlign w:val="center"/>
                </w:tcPr>
                <w:p>
                  <w:pPr>
                    <w:pStyle w:val="91"/>
                    <w:bidi w:val="0"/>
                    <w:rPr>
                      <w:rFonts w:hint="eastAsia" w:eastAsia="宋体"/>
                      <w:color w:val="auto"/>
                      <w:sz w:val="21"/>
                      <w:szCs w:val="21"/>
                      <w:lang w:val="en-US" w:eastAsia="zh-CN"/>
                    </w:rPr>
                  </w:pPr>
                  <w:r>
                    <w:rPr>
                      <w:rFonts w:hint="eastAsia"/>
                      <w:color w:val="auto"/>
                      <w:sz w:val="21"/>
                      <w:szCs w:val="21"/>
                      <w:lang w:val="en-US" w:eastAsia="zh-CN"/>
                    </w:rPr>
                    <w:t>NMHC</w:t>
                  </w:r>
                </w:p>
              </w:tc>
              <w:tc>
                <w:tcPr>
                  <w:tcW w:w="1455" w:type="dxa"/>
                  <w:tcBorders>
                    <w:tl2br w:val="nil"/>
                    <w:tr2bl w:val="nil"/>
                  </w:tcBorders>
                  <w:noWrap w:val="0"/>
                  <w:vAlign w:val="center"/>
                </w:tcPr>
                <w:p>
                  <w:pPr>
                    <w:pStyle w:val="91"/>
                    <w:bidi w:val="0"/>
                    <w:rPr>
                      <w:rFonts w:hint="default"/>
                      <w:color w:val="auto"/>
                      <w:sz w:val="21"/>
                      <w:szCs w:val="21"/>
                      <w:lang w:val="en-US" w:eastAsia="zh-CN"/>
                    </w:rPr>
                  </w:pPr>
                  <w:r>
                    <w:rPr>
                      <w:rFonts w:hint="eastAsia"/>
                      <w:color w:val="auto"/>
                      <w:sz w:val="21"/>
                      <w:szCs w:val="21"/>
                      <w:lang w:val="en-US" w:eastAsia="zh-CN"/>
                    </w:rPr>
                    <w:t>10</w:t>
                  </w:r>
                </w:p>
              </w:tc>
              <w:tc>
                <w:tcPr>
                  <w:tcW w:w="2460" w:type="dxa"/>
                  <w:tcBorders>
                    <w:tl2br w:val="nil"/>
                    <w:tr2bl w:val="nil"/>
                  </w:tcBorders>
                  <w:noWrap w:val="0"/>
                  <w:vAlign w:val="center"/>
                </w:tcPr>
                <w:p>
                  <w:pPr>
                    <w:pStyle w:val="91"/>
                    <w:bidi w:val="0"/>
                    <w:rPr>
                      <w:rFonts w:hint="eastAsia"/>
                      <w:color w:val="auto"/>
                      <w:sz w:val="21"/>
                      <w:szCs w:val="21"/>
                      <w:lang w:val="en-US" w:eastAsia="zh-CN"/>
                    </w:rPr>
                  </w:pPr>
                  <w:r>
                    <w:rPr>
                      <w:rFonts w:hint="eastAsia"/>
                      <w:color w:val="auto"/>
                      <w:sz w:val="21"/>
                      <w:szCs w:val="21"/>
                      <w:lang w:val="en-US" w:eastAsia="zh-CN"/>
                    </w:rPr>
                    <w:t>监控点处1h平均浓度值</w:t>
                  </w:r>
                </w:p>
              </w:tc>
              <w:tc>
                <w:tcPr>
                  <w:tcW w:w="2664" w:type="dxa"/>
                  <w:vMerge w:val="continue"/>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trHeight w:val="340" w:hRule="atLeast"/>
                <w:jc w:val="center"/>
              </w:trPr>
              <w:tc>
                <w:tcPr>
                  <w:tcW w:w="1385" w:type="dxa"/>
                  <w:tcBorders>
                    <w:tl2br w:val="nil"/>
                    <w:tr2bl w:val="nil"/>
                  </w:tcBorders>
                  <w:noWrap w:val="0"/>
                  <w:vAlign w:val="center"/>
                </w:tcPr>
                <w:p>
                  <w:pPr>
                    <w:pStyle w:val="91"/>
                    <w:bidi w:val="0"/>
                    <w:rPr>
                      <w:rFonts w:hint="eastAsia"/>
                      <w:color w:val="auto"/>
                      <w:sz w:val="21"/>
                      <w:szCs w:val="21"/>
                      <w:lang w:val="en-US" w:eastAsia="zh-CN"/>
                    </w:rPr>
                  </w:pPr>
                  <w:r>
                    <w:rPr>
                      <w:rFonts w:hint="eastAsia"/>
                      <w:color w:val="auto"/>
                      <w:sz w:val="21"/>
                      <w:szCs w:val="21"/>
                      <w:lang w:val="en-US" w:eastAsia="zh-CN"/>
                    </w:rPr>
                    <w:t>NMHC</w:t>
                  </w:r>
                </w:p>
              </w:tc>
              <w:tc>
                <w:tcPr>
                  <w:tcW w:w="1455" w:type="dxa"/>
                  <w:tcBorders>
                    <w:tl2br w:val="nil"/>
                    <w:tr2bl w:val="nil"/>
                  </w:tcBorders>
                  <w:noWrap w:val="0"/>
                  <w:vAlign w:val="center"/>
                </w:tcPr>
                <w:p>
                  <w:pPr>
                    <w:pStyle w:val="91"/>
                    <w:bidi w:val="0"/>
                    <w:rPr>
                      <w:rFonts w:hint="default"/>
                      <w:color w:val="auto"/>
                      <w:sz w:val="21"/>
                      <w:szCs w:val="21"/>
                      <w:lang w:val="en-US" w:eastAsia="zh-CN"/>
                    </w:rPr>
                  </w:pPr>
                  <w:r>
                    <w:rPr>
                      <w:rFonts w:hint="eastAsia"/>
                      <w:color w:val="auto"/>
                      <w:sz w:val="21"/>
                      <w:szCs w:val="21"/>
                      <w:lang w:val="en-US" w:eastAsia="zh-CN"/>
                    </w:rPr>
                    <w:t>30</w:t>
                  </w:r>
                </w:p>
              </w:tc>
              <w:tc>
                <w:tcPr>
                  <w:tcW w:w="2460" w:type="dxa"/>
                  <w:tcBorders>
                    <w:tl2br w:val="nil"/>
                    <w:tr2bl w:val="nil"/>
                  </w:tcBorders>
                  <w:noWrap w:val="0"/>
                  <w:vAlign w:val="center"/>
                </w:tcPr>
                <w:p>
                  <w:pPr>
                    <w:pStyle w:val="91"/>
                    <w:bidi w:val="0"/>
                    <w:rPr>
                      <w:rFonts w:hint="default"/>
                      <w:color w:val="auto"/>
                      <w:sz w:val="21"/>
                      <w:szCs w:val="21"/>
                      <w:lang w:val="en-US" w:eastAsia="zh-CN"/>
                    </w:rPr>
                  </w:pPr>
                  <w:r>
                    <w:rPr>
                      <w:rFonts w:hint="eastAsia"/>
                      <w:color w:val="auto"/>
                      <w:sz w:val="21"/>
                      <w:szCs w:val="21"/>
                      <w:lang w:val="en-US" w:eastAsia="zh-CN"/>
                    </w:rPr>
                    <w:t>监控点处任意一次浓度值</w:t>
                  </w:r>
                </w:p>
              </w:tc>
              <w:tc>
                <w:tcPr>
                  <w:tcW w:w="2664" w:type="dxa"/>
                  <w:vMerge w:val="continue"/>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trHeight w:val="340" w:hRule="atLeast"/>
                <w:jc w:val="center"/>
              </w:trPr>
              <w:tc>
                <w:tcPr>
                  <w:tcW w:w="1385" w:type="dxa"/>
                  <w:vMerge w:val="restart"/>
                  <w:tcBorders>
                    <w:tl2br w:val="nil"/>
                    <w:tr2bl w:val="nil"/>
                  </w:tcBorders>
                  <w:noWrap w:val="0"/>
                  <w:vAlign w:val="center"/>
                </w:tcPr>
                <w:p>
                  <w:pPr>
                    <w:pStyle w:val="91"/>
                    <w:bidi w:val="0"/>
                    <w:rPr>
                      <w:rFonts w:hint="default" w:eastAsia="宋体"/>
                      <w:color w:val="auto"/>
                      <w:sz w:val="21"/>
                      <w:szCs w:val="21"/>
                      <w:lang w:val="en-US" w:eastAsia="zh-CN"/>
                    </w:rPr>
                  </w:pPr>
                  <w:r>
                    <w:rPr>
                      <w:rFonts w:hint="eastAsia"/>
                      <w:color w:val="auto"/>
                      <w:sz w:val="21"/>
                      <w:szCs w:val="21"/>
                      <w:lang w:val="en-US" w:eastAsia="zh-CN"/>
                    </w:rPr>
                    <w:t>臭气浓度</w:t>
                  </w:r>
                </w:p>
              </w:tc>
              <w:tc>
                <w:tcPr>
                  <w:tcW w:w="1455" w:type="dxa"/>
                  <w:tcBorders>
                    <w:tl2br w:val="nil"/>
                    <w:tr2bl w:val="nil"/>
                  </w:tcBorders>
                  <w:noWrap w:val="0"/>
                  <w:vAlign w:val="center"/>
                </w:tcPr>
                <w:p>
                  <w:pPr>
                    <w:pStyle w:val="91"/>
                    <w:bidi w:val="0"/>
                    <w:rPr>
                      <w:rFonts w:hint="default"/>
                      <w:color w:val="auto"/>
                      <w:sz w:val="21"/>
                      <w:szCs w:val="21"/>
                      <w:lang w:val="en-US" w:eastAsia="zh-CN"/>
                    </w:rPr>
                  </w:pPr>
                  <w:r>
                    <w:rPr>
                      <w:rFonts w:hint="eastAsia"/>
                      <w:color w:val="auto"/>
                      <w:sz w:val="21"/>
                      <w:szCs w:val="21"/>
                      <w:lang w:val="en-US" w:eastAsia="zh-CN"/>
                    </w:rPr>
                    <w:t>2000（无量纲）</w:t>
                  </w:r>
                </w:p>
              </w:tc>
              <w:tc>
                <w:tcPr>
                  <w:tcW w:w="2460" w:type="dxa"/>
                  <w:tcBorders>
                    <w:tl2br w:val="nil"/>
                    <w:tr2bl w:val="nil"/>
                  </w:tcBorders>
                  <w:noWrap w:val="0"/>
                  <w:vAlign w:val="center"/>
                </w:tcPr>
                <w:p>
                  <w:pPr>
                    <w:pStyle w:val="91"/>
                    <w:bidi w:val="0"/>
                    <w:rPr>
                      <w:rFonts w:hint="default"/>
                      <w:color w:val="auto"/>
                      <w:sz w:val="21"/>
                      <w:szCs w:val="21"/>
                      <w:lang w:val="en-US" w:eastAsia="zh-CN"/>
                    </w:rPr>
                  </w:pPr>
                  <w:r>
                    <w:rPr>
                      <w:rFonts w:hint="eastAsia"/>
                      <w:color w:val="auto"/>
                      <w:sz w:val="21"/>
                      <w:szCs w:val="21"/>
                      <w:lang w:val="en-US" w:eastAsia="zh-CN"/>
                    </w:rPr>
                    <w:t>冷芯盒制芯废气排气筒</w:t>
                  </w:r>
                </w:p>
              </w:tc>
              <w:tc>
                <w:tcPr>
                  <w:tcW w:w="2664" w:type="dxa"/>
                  <w:vMerge w:val="restart"/>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《恶臭污染物排放标准》（GB14554</w:t>
                  </w:r>
                  <w:r>
                    <w:rPr>
                      <w:rFonts w:hint="eastAsia" w:ascii="宋体" w:hAnsi="宋体" w:cs="宋体"/>
                      <w:color w:val="auto"/>
                      <w:kern w:val="0"/>
                      <w:sz w:val="21"/>
                      <w:szCs w:val="21"/>
                      <w:lang w:val="en-US" w:eastAsia="zh-CN" w:bidi="ar"/>
                    </w:rPr>
                    <w:t>-93</w:t>
                  </w:r>
                  <w:r>
                    <w:rPr>
                      <w:rFonts w:hint="eastAsia" w:ascii="宋体" w:hAnsi="宋体" w:eastAsia="宋体" w:cs="宋体"/>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trHeight w:val="340" w:hRule="atLeast"/>
                <w:jc w:val="center"/>
              </w:trPr>
              <w:tc>
                <w:tcPr>
                  <w:tcW w:w="1385" w:type="dxa"/>
                  <w:vMerge w:val="continue"/>
                  <w:tcBorders>
                    <w:tl2br w:val="nil"/>
                    <w:tr2bl w:val="nil"/>
                  </w:tcBorders>
                  <w:noWrap w:val="0"/>
                  <w:vAlign w:val="center"/>
                </w:tcPr>
                <w:p>
                  <w:pPr>
                    <w:pStyle w:val="91"/>
                    <w:bidi w:val="0"/>
                    <w:rPr>
                      <w:rFonts w:hint="eastAsia"/>
                      <w:color w:val="auto"/>
                      <w:sz w:val="21"/>
                      <w:szCs w:val="21"/>
                      <w:lang w:val="en-US" w:eastAsia="zh-CN"/>
                    </w:rPr>
                  </w:pPr>
                </w:p>
              </w:tc>
              <w:tc>
                <w:tcPr>
                  <w:tcW w:w="1455" w:type="dxa"/>
                  <w:tcBorders>
                    <w:tl2br w:val="nil"/>
                    <w:tr2bl w:val="nil"/>
                  </w:tcBorders>
                  <w:noWrap w:val="0"/>
                  <w:vAlign w:val="center"/>
                </w:tcPr>
                <w:p>
                  <w:pPr>
                    <w:pStyle w:val="91"/>
                    <w:bidi w:val="0"/>
                    <w:rPr>
                      <w:rFonts w:hint="default"/>
                      <w:color w:val="auto"/>
                      <w:sz w:val="21"/>
                      <w:szCs w:val="21"/>
                      <w:lang w:val="en-US" w:eastAsia="zh-CN"/>
                    </w:rPr>
                  </w:pPr>
                  <w:r>
                    <w:rPr>
                      <w:rFonts w:hint="eastAsia"/>
                      <w:color w:val="auto"/>
                      <w:sz w:val="21"/>
                      <w:szCs w:val="21"/>
                      <w:lang w:val="en-US" w:eastAsia="zh-CN"/>
                    </w:rPr>
                    <w:t>20（无量纲）</w:t>
                  </w:r>
                </w:p>
              </w:tc>
              <w:tc>
                <w:tcPr>
                  <w:tcW w:w="2460" w:type="dxa"/>
                  <w:tcBorders>
                    <w:tl2br w:val="nil"/>
                    <w:tr2bl w:val="nil"/>
                  </w:tcBorders>
                  <w:noWrap w:val="0"/>
                  <w:vAlign w:val="center"/>
                </w:tcPr>
                <w:p>
                  <w:pPr>
                    <w:pStyle w:val="91"/>
                    <w:bidi w:val="0"/>
                    <w:rPr>
                      <w:rFonts w:hint="default"/>
                      <w:color w:val="auto"/>
                      <w:sz w:val="21"/>
                      <w:szCs w:val="21"/>
                      <w:lang w:val="en-US" w:eastAsia="zh-CN"/>
                    </w:rPr>
                  </w:pPr>
                  <w:r>
                    <w:rPr>
                      <w:rFonts w:hint="eastAsia"/>
                      <w:color w:val="auto"/>
                      <w:sz w:val="21"/>
                      <w:szCs w:val="21"/>
                      <w:lang w:val="en-US" w:eastAsia="zh-CN"/>
                    </w:rPr>
                    <w:t>厂界</w:t>
                  </w:r>
                </w:p>
              </w:tc>
              <w:tc>
                <w:tcPr>
                  <w:tcW w:w="2664" w:type="dxa"/>
                  <w:vMerge w:val="continue"/>
                  <w:tcBorders>
                    <w:tl2br w:val="nil"/>
                    <w:tr2bl w:val="nil"/>
                  </w:tcBorders>
                  <w:noWrap w:val="0"/>
                  <w:vAlign w:val="center"/>
                </w:tcPr>
                <w:p>
                  <w:pPr>
                    <w:keepNext w:val="0"/>
                    <w:keepLines w:val="0"/>
                    <w:widowControl/>
                    <w:suppressLineNumbers w:val="0"/>
                    <w:jc w:val="left"/>
                    <w:rPr>
                      <w:rFonts w:hint="eastAsia" w:ascii="宋体" w:hAnsi="宋体" w:eastAsia="宋体" w:cs="宋体"/>
                      <w:color w:val="auto"/>
                      <w:kern w:val="0"/>
                      <w:sz w:val="21"/>
                      <w:szCs w:val="21"/>
                      <w:lang w:val="en-US" w:eastAsia="zh-CN" w:bidi="ar"/>
                    </w:rPr>
                  </w:pPr>
                </w:p>
              </w:tc>
            </w:tr>
          </w:tbl>
          <w:p>
            <w:pPr>
              <w:pStyle w:val="41"/>
              <w:keepNext w:val="0"/>
              <w:keepLines w:val="0"/>
              <w:pageBreakBefore w:val="0"/>
              <w:widowControl/>
              <w:kinsoku/>
              <w:wordWrap/>
              <w:overflowPunct/>
              <w:topLinePunct w:val="0"/>
              <w:autoSpaceDE/>
              <w:autoSpaceDN/>
              <w:bidi w:val="0"/>
              <w:adjustRightInd/>
              <w:snapToGrid/>
              <w:spacing w:line="20" w:lineRule="exact"/>
              <w:textAlignment w:val="auto"/>
              <w:rPr>
                <w:rFonts w:hint="eastAsia"/>
                <w:b w:val="0"/>
                <w:bCs w:val="0"/>
                <w:color w:val="auto"/>
                <w:lang w:eastAsia="zh-CN"/>
              </w:rPr>
            </w:pPr>
          </w:p>
          <w:bookmarkEnd w:id="11"/>
          <w:p>
            <w:pPr>
              <w:pStyle w:val="41"/>
              <w:bidi w:val="0"/>
              <w:rPr>
                <w:b/>
                <w:bCs/>
                <w:color w:val="auto"/>
              </w:rPr>
            </w:pPr>
            <w:r>
              <w:rPr>
                <w:rFonts w:hint="eastAsia"/>
                <w:b/>
                <w:bCs/>
                <w:color w:val="auto"/>
                <w:lang w:val="en-US" w:eastAsia="zh-CN"/>
              </w:rPr>
              <w:t>2、</w:t>
            </w:r>
            <w:r>
              <w:rPr>
                <w:b/>
                <w:bCs/>
                <w:color w:val="auto"/>
              </w:rPr>
              <w:t>噪声排放标准</w:t>
            </w:r>
          </w:p>
          <w:p>
            <w:pPr>
              <w:pStyle w:val="72"/>
              <w:bidi w:val="0"/>
              <w:rPr>
                <w:color w:val="auto"/>
              </w:rPr>
            </w:pPr>
            <w:r>
              <w:rPr>
                <w:color w:val="auto"/>
              </w:rPr>
              <w:t>执行《工业企业厂界环境噪声排放标准》（GB12348-2008）</w:t>
            </w:r>
            <w:r>
              <w:rPr>
                <w:rFonts w:hint="eastAsia"/>
                <w:color w:val="auto"/>
                <w:lang w:val="en-US" w:eastAsia="zh-CN"/>
              </w:rPr>
              <w:t>2</w:t>
            </w:r>
            <w:r>
              <w:rPr>
                <w:color w:val="auto"/>
              </w:rPr>
              <w:t>类区标准。</w:t>
            </w:r>
          </w:p>
          <w:p>
            <w:pPr>
              <w:pStyle w:val="70"/>
              <w:bidi w:val="0"/>
              <w:rPr>
                <w:color w:val="auto"/>
              </w:rPr>
            </w:pPr>
            <w:r>
              <w:rPr>
                <w:color w:val="auto"/>
              </w:rPr>
              <w:t>表</w:t>
            </w:r>
            <w:r>
              <w:rPr>
                <w:rFonts w:hint="eastAsia"/>
                <w:color w:val="auto"/>
                <w:lang w:val="en-US" w:eastAsia="zh-CN"/>
              </w:rPr>
              <w:t>3</w:t>
            </w:r>
            <w:r>
              <w:rPr>
                <w:color w:val="auto"/>
              </w:rPr>
              <w:t>-</w:t>
            </w:r>
            <w:r>
              <w:rPr>
                <w:rFonts w:hint="eastAsia"/>
                <w:color w:val="auto"/>
                <w:lang w:val="en-US" w:eastAsia="zh-CN"/>
              </w:rPr>
              <w:t>5</w:t>
            </w:r>
            <w:r>
              <w:rPr>
                <w:color w:val="auto"/>
              </w:rPr>
              <w:t xml:space="preserve"> 工业企业厂界环境噪声排放标准</w:t>
            </w:r>
            <w:r>
              <w:rPr>
                <w:rFonts w:hint="eastAsia" w:cs="Times New Roman"/>
                <w:b/>
                <w:bCs/>
                <w:color w:val="auto"/>
                <w:sz w:val="21"/>
                <w:szCs w:val="21"/>
                <w:lang w:val="en-US" w:eastAsia="zh-CN"/>
              </w:rPr>
              <w:t xml:space="preserve">    单位：</w:t>
            </w:r>
            <w:r>
              <w:rPr>
                <w:color w:val="auto"/>
              </w:rPr>
              <w:t>dB（A）</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2735"/>
              <w:gridCol w:w="2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2481" w:type="dxa"/>
                  <w:vMerge w:val="restart"/>
                  <w:tcBorders>
                    <w:top w:val="single" w:color="auto" w:sz="4" w:space="0"/>
                    <w:left w:val="single" w:color="auto" w:sz="4" w:space="0"/>
                    <w:right w:val="single" w:color="auto" w:sz="4" w:space="0"/>
                  </w:tcBorders>
                  <w:noWrap w:val="0"/>
                  <w:vAlign w:val="center"/>
                </w:tcPr>
                <w:p>
                  <w:pPr>
                    <w:widowControl/>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标准级别</w:t>
                  </w:r>
                </w:p>
              </w:tc>
              <w:tc>
                <w:tcPr>
                  <w:tcW w:w="5483"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标准限值</w:t>
                  </w:r>
                  <w:r>
                    <w:rPr>
                      <w:rFonts w:hint="eastAsia" w:cs="Times New Roman"/>
                      <w:b/>
                      <w:bCs/>
                      <w:color w:val="auto"/>
                      <w:sz w:val="21"/>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81" w:type="dxa"/>
                  <w:vMerge w:val="continue"/>
                  <w:tcBorders>
                    <w:left w:val="single" w:color="auto" w:sz="4" w:space="0"/>
                    <w:bottom w:val="single" w:color="auto" w:sz="4" w:space="0"/>
                    <w:right w:val="single" w:color="auto" w:sz="4" w:space="0"/>
                  </w:tcBorders>
                  <w:noWrap w:val="0"/>
                  <w:vAlign w:val="center"/>
                </w:tcPr>
                <w:p>
                  <w:pPr>
                    <w:widowControl/>
                    <w:jc w:val="left"/>
                    <w:rPr>
                      <w:rFonts w:ascii="Times New Roman" w:hAnsi="Times New Roman" w:eastAsia="宋体" w:cs="Times New Roman"/>
                      <w:b/>
                      <w:bCs/>
                      <w:color w:val="auto"/>
                      <w:sz w:val="21"/>
                      <w:szCs w:val="21"/>
                    </w:rPr>
                  </w:pPr>
                </w:p>
              </w:tc>
              <w:tc>
                <w:tcPr>
                  <w:tcW w:w="273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昼间</w:t>
                  </w:r>
                </w:p>
              </w:tc>
              <w:tc>
                <w:tcPr>
                  <w:tcW w:w="27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8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eastAsia="宋体" w:cs="Times New Roman"/>
                      <w:color w:val="auto"/>
                      <w:sz w:val="21"/>
                      <w:szCs w:val="21"/>
                    </w:rPr>
                  </w:pPr>
                  <w:r>
                    <w:rPr>
                      <w:rFonts w:hint="eastAsia" w:cs="Times New Roman"/>
                      <w:color w:val="auto"/>
                      <w:sz w:val="21"/>
                      <w:szCs w:val="21"/>
                      <w:lang w:val="en-US" w:eastAsia="zh-CN"/>
                    </w:rPr>
                    <w:t>2</w:t>
                  </w:r>
                  <w:r>
                    <w:rPr>
                      <w:rFonts w:ascii="Times New Roman" w:hAnsi="Times New Roman" w:eastAsia="宋体" w:cs="Times New Roman"/>
                      <w:color w:val="auto"/>
                      <w:sz w:val="21"/>
                      <w:szCs w:val="21"/>
                    </w:rPr>
                    <w:t>类</w:t>
                  </w:r>
                </w:p>
              </w:tc>
              <w:tc>
                <w:tcPr>
                  <w:tcW w:w="273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27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eastAsia="宋体" w:cs="Times New Roman"/>
                      <w:color w:val="auto"/>
                      <w:sz w:val="21"/>
                      <w:szCs w:val="21"/>
                    </w:rPr>
                  </w:pPr>
                  <w:r>
                    <w:rPr>
                      <w:rFonts w:hint="eastAsia" w:cs="Times New Roman"/>
                      <w:color w:val="auto"/>
                      <w:sz w:val="21"/>
                      <w:szCs w:val="21"/>
                      <w:lang w:val="en-US" w:eastAsia="zh-CN"/>
                    </w:rPr>
                    <w:t>50</w:t>
                  </w:r>
                </w:p>
              </w:tc>
            </w:tr>
          </w:tbl>
          <w:p>
            <w:pPr>
              <w:keepNext w:val="0"/>
              <w:keepLines w:val="0"/>
              <w:pageBreakBefore w:val="0"/>
              <w:widowControl/>
              <w:kinsoku/>
              <w:wordWrap/>
              <w:overflowPunct/>
              <w:topLinePunct w:val="0"/>
              <w:autoSpaceDE/>
              <w:autoSpaceDN/>
              <w:bidi w:val="0"/>
              <w:adjustRightInd/>
              <w:snapToGrid/>
              <w:spacing w:line="20" w:lineRule="exact"/>
              <w:ind w:firstLine="482" w:firstLineChars="200"/>
              <w:textAlignment w:val="auto"/>
              <w:rPr>
                <w:rFonts w:hint="eastAsia" w:ascii="Times New Roman" w:hAnsi="Times New Roman" w:eastAsia="宋体" w:cs="Times New Roman"/>
                <w:b/>
                <w:color w:val="auto"/>
                <w:sz w:val="24"/>
                <w:szCs w:val="24"/>
              </w:rPr>
            </w:pPr>
          </w:p>
          <w:p>
            <w:pPr>
              <w:pStyle w:val="44"/>
              <w:keepNext w:val="0"/>
              <w:keepLines w:val="0"/>
              <w:pageBreakBefore w:val="0"/>
              <w:widowControl w:val="0"/>
              <w:kinsoku/>
              <w:wordWrap/>
              <w:overflowPunct/>
              <w:topLinePunct w:val="0"/>
              <w:autoSpaceDE w:val="0"/>
              <w:autoSpaceDN w:val="0"/>
              <w:bidi w:val="0"/>
              <w:adjustRightInd w:val="0"/>
              <w:snapToGrid/>
              <w:spacing w:line="20" w:lineRule="exact"/>
              <w:textAlignment w:val="auto"/>
              <w:rPr>
                <w:rFonts w:hint="eastAsia" w:ascii="Times New Roman" w:hAnsi="Times New Roman" w:eastAsia="宋体" w:cs="Times New Roman"/>
                <w:b/>
                <w:color w:val="auto"/>
                <w:sz w:val="24"/>
                <w:szCs w:val="24"/>
              </w:rPr>
            </w:pPr>
          </w:p>
          <w:p>
            <w:pPr>
              <w:pStyle w:val="46"/>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color w:val="auto"/>
              </w:rPr>
            </w:pPr>
          </w:p>
          <w:p>
            <w:pPr>
              <w:pStyle w:val="72"/>
              <w:keepNext w:val="0"/>
              <w:keepLines w:val="0"/>
              <w:pageBreakBefore w:val="0"/>
              <w:widowControl/>
              <w:kinsoku/>
              <w:wordWrap/>
              <w:overflowPunct/>
              <w:topLinePunct w:val="0"/>
              <w:autoSpaceDE/>
              <w:autoSpaceDN/>
              <w:bidi w:val="0"/>
              <w:adjustRightInd/>
              <w:snapToGrid/>
              <w:spacing w:line="40" w:lineRule="exact"/>
              <w:textAlignment w:val="auto"/>
              <w:rPr>
                <w:rFonts w:hint="eastAsia"/>
                <w:b/>
                <w:bCs/>
                <w:color w:val="auto"/>
                <w:lang w:val="en-US" w:eastAsia="zh-CN"/>
              </w:rPr>
            </w:pPr>
          </w:p>
          <w:p>
            <w:pPr>
              <w:pStyle w:val="72"/>
              <w:keepNext w:val="0"/>
              <w:keepLines w:val="0"/>
              <w:pageBreakBefore w:val="0"/>
              <w:widowControl/>
              <w:kinsoku/>
              <w:wordWrap/>
              <w:overflowPunct/>
              <w:topLinePunct w:val="0"/>
              <w:autoSpaceDE/>
              <w:autoSpaceDN/>
              <w:bidi w:val="0"/>
              <w:adjustRightInd/>
              <w:snapToGrid/>
              <w:spacing w:line="40" w:lineRule="exact"/>
              <w:textAlignment w:val="auto"/>
              <w:rPr>
                <w:rFonts w:hint="eastAsia"/>
                <w:b/>
                <w:bCs/>
                <w:color w:val="auto"/>
                <w:lang w:val="en-US" w:eastAsia="zh-CN"/>
              </w:rPr>
            </w:pPr>
          </w:p>
          <w:p>
            <w:pPr>
              <w:pStyle w:val="72"/>
              <w:keepNext w:val="0"/>
              <w:keepLines w:val="0"/>
              <w:pageBreakBefore w:val="0"/>
              <w:widowControl/>
              <w:kinsoku/>
              <w:wordWrap/>
              <w:overflowPunct/>
              <w:topLinePunct w:val="0"/>
              <w:autoSpaceDE/>
              <w:autoSpaceDN/>
              <w:bidi w:val="0"/>
              <w:adjustRightInd/>
              <w:snapToGrid/>
              <w:spacing w:line="40" w:lineRule="exact"/>
              <w:textAlignment w:val="auto"/>
              <w:rPr>
                <w:rFonts w:hint="eastAsia"/>
                <w:b/>
                <w:bCs/>
                <w:color w:val="auto"/>
                <w:lang w:val="en-US" w:eastAsia="zh-CN"/>
              </w:rPr>
            </w:pPr>
          </w:p>
          <w:p>
            <w:pPr>
              <w:pStyle w:val="72"/>
              <w:keepNext w:val="0"/>
              <w:keepLines w:val="0"/>
              <w:pageBreakBefore w:val="0"/>
              <w:widowControl/>
              <w:kinsoku/>
              <w:wordWrap/>
              <w:overflowPunct/>
              <w:topLinePunct w:val="0"/>
              <w:autoSpaceDE/>
              <w:autoSpaceDN/>
              <w:bidi w:val="0"/>
              <w:adjustRightInd/>
              <w:snapToGrid/>
              <w:spacing w:line="40" w:lineRule="exact"/>
              <w:textAlignment w:val="auto"/>
              <w:rPr>
                <w:rFonts w:hint="eastAsia"/>
                <w:b/>
                <w:bCs/>
                <w:color w:val="auto"/>
                <w:lang w:val="en-US" w:eastAsia="zh-CN"/>
              </w:rPr>
            </w:pPr>
          </w:p>
          <w:p>
            <w:pPr>
              <w:pStyle w:val="72"/>
              <w:keepNext w:val="0"/>
              <w:keepLines w:val="0"/>
              <w:pageBreakBefore w:val="0"/>
              <w:widowControl/>
              <w:kinsoku/>
              <w:wordWrap/>
              <w:overflowPunct/>
              <w:topLinePunct w:val="0"/>
              <w:autoSpaceDE/>
              <w:autoSpaceDN/>
              <w:bidi w:val="0"/>
              <w:adjustRightInd/>
              <w:snapToGrid/>
              <w:spacing w:line="360" w:lineRule="auto"/>
              <w:textAlignment w:val="auto"/>
              <w:rPr>
                <w:b/>
                <w:bCs/>
                <w:color w:val="auto"/>
              </w:rPr>
            </w:pPr>
            <w:r>
              <w:rPr>
                <w:rFonts w:hint="eastAsia"/>
                <w:b/>
                <w:bCs/>
                <w:color w:val="auto"/>
                <w:lang w:val="en-US" w:eastAsia="zh-CN"/>
              </w:rPr>
              <w:t>3、</w:t>
            </w:r>
            <w:r>
              <w:rPr>
                <w:b/>
                <w:bCs/>
                <w:color w:val="auto"/>
              </w:rPr>
              <w:t>废水排放标准</w:t>
            </w:r>
          </w:p>
          <w:p>
            <w:pPr>
              <w:pStyle w:val="41"/>
              <w:keepNext w:val="0"/>
              <w:keepLines w:val="0"/>
              <w:widowControl/>
              <w:suppressLineNumbers w:val="0"/>
              <w:bidi w:val="0"/>
              <w:spacing w:before="0" w:beforeAutospacing="0" w:after="0" w:afterAutospacing="0"/>
              <w:ind w:left="0" w:right="0"/>
              <w:rPr>
                <w:rFonts w:hint="eastAsia"/>
                <w:color w:val="auto"/>
                <w:lang w:val="zh-CN"/>
              </w:rPr>
            </w:pPr>
            <w:r>
              <w:rPr>
                <w:rFonts w:hint="eastAsia"/>
                <w:b w:val="0"/>
                <w:bCs w:val="0"/>
                <w:color w:val="auto"/>
                <w:lang w:val="en-US" w:eastAsia="zh-CN"/>
              </w:rPr>
              <w:t>本项目</w:t>
            </w:r>
            <w:r>
              <w:rPr>
                <w:rFonts w:hint="eastAsia"/>
                <w:b w:val="0"/>
                <w:bCs w:val="0"/>
                <w:color w:val="auto"/>
                <w:lang w:eastAsia="zh-CN"/>
              </w:rPr>
              <w:t>生活污水经</w:t>
            </w:r>
            <w:r>
              <w:rPr>
                <w:rFonts w:hint="eastAsia"/>
                <w:b w:val="0"/>
                <w:bCs w:val="0"/>
                <w:color w:val="auto"/>
                <w:lang w:val="en-US" w:eastAsia="zh-CN"/>
              </w:rPr>
              <w:t>旱厕</w:t>
            </w:r>
            <w:r>
              <w:rPr>
                <w:rFonts w:hint="eastAsia"/>
                <w:b w:val="0"/>
                <w:bCs w:val="0"/>
                <w:color w:val="auto"/>
                <w:lang w:eastAsia="zh-CN"/>
              </w:rPr>
              <w:t>处理后</w:t>
            </w:r>
            <w:r>
              <w:rPr>
                <w:rFonts w:hint="eastAsia"/>
                <w:b w:val="0"/>
                <w:bCs w:val="0"/>
                <w:color w:val="auto"/>
                <w:lang w:val="en-US" w:eastAsia="zh-CN"/>
              </w:rPr>
              <w:t>作为农肥使用，不外排</w:t>
            </w:r>
            <w:r>
              <w:rPr>
                <w:rFonts w:hint="eastAsia"/>
                <w:color w:val="auto"/>
                <w:lang w:eastAsia="zh-CN"/>
              </w:rPr>
              <w:t>。</w:t>
            </w:r>
          </w:p>
          <w:p>
            <w:pPr>
              <w:pStyle w:val="72"/>
              <w:bidi w:val="0"/>
              <w:rPr>
                <w:b/>
                <w:bCs/>
                <w:color w:val="auto"/>
              </w:rPr>
            </w:pPr>
            <w:r>
              <w:rPr>
                <w:rFonts w:hint="eastAsia"/>
                <w:b/>
                <w:bCs/>
                <w:color w:val="auto"/>
              </w:rPr>
              <w:t>4</w:t>
            </w:r>
            <w:r>
              <w:rPr>
                <w:rFonts w:hint="eastAsia"/>
                <w:b/>
                <w:bCs/>
                <w:color w:val="auto"/>
                <w:lang w:val="en-US" w:eastAsia="zh-CN"/>
              </w:rPr>
              <w:t xml:space="preserve"> 、</w:t>
            </w:r>
            <w:r>
              <w:rPr>
                <w:rFonts w:hint="eastAsia"/>
                <w:b/>
                <w:bCs/>
                <w:color w:val="auto"/>
              </w:rPr>
              <w:t>固废排放标准</w:t>
            </w:r>
          </w:p>
          <w:p>
            <w:pPr>
              <w:pStyle w:val="72"/>
              <w:bidi w:val="0"/>
              <w:rPr>
                <w:rFonts w:hint="eastAsia"/>
                <w:lang w:eastAsia="zh-CN"/>
              </w:rPr>
            </w:pPr>
            <w:r>
              <w:rPr>
                <w:color w:val="auto"/>
              </w:rPr>
              <w:t>一般固体废物贮存执行</w:t>
            </w:r>
            <w:r>
              <w:rPr>
                <w:rFonts w:hint="eastAsia"/>
                <w:color w:val="auto"/>
                <w:lang w:eastAsia="zh-CN"/>
              </w:rPr>
              <w:t>《一般工业固体废物贮存和填埋污染控制标准》（GB18599-2020）要求</w:t>
            </w:r>
            <w:r>
              <w:rPr>
                <w:color w:val="auto"/>
              </w:rPr>
              <w:t>。危险废物贮存执行《危险废物贮存污染控制标准》（GB18597-20</w:t>
            </w:r>
            <w:r>
              <w:rPr>
                <w:rFonts w:hint="eastAsia"/>
                <w:color w:val="auto"/>
                <w:lang w:val="en-US" w:eastAsia="zh-CN"/>
              </w:rPr>
              <w:t>23</w:t>
            </w:r>
            <w:r>
              <w:rPr>
                <w:color w:val="auto"/>
              </w:rPr>
              <w:t>）</w:t>
            </w:r>
            <w:r>
              <w:rPr>
                <w:rFonts w:hint="eastAsia"/>
                <w:color w:val="auto"/>
                <w:lang w:eastAsia="zh-CN"/>
              </w:rPr>
              <w:t>要求</w:t>
            </w: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tcMar>
              <w:left w:w="28" w:type="dxa"/>
              <w:right w:w="28" w:type="dxa"/>
            </w:tcMar>
            <w:vAlign w:val="center"/>
          </w:tcPr>
          <w:p>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总量</w:t>
            </w:r>
          </w:p>
          <w:p>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控制</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 w:val="24"/>
                <w:szCs w:val="24"/>
              </w:rPr>
              <w:t>指标</w:t>
            </w:r>
          </w:p>
        </w:tc>
        <w:tc>
          <w:tcPr>
            <w:tcW w:w="8190" w:type="dxa"/>
            <w:noWrap w:val="0"/>
            <w:vAlign w:val="center"/>
          </w:tcPr>
          <w:p>
            <w:pPr>
              <w:pStyle w:val="72"/>
              <w:bidi w:val="0"/>
              <w:jc w:val="center"/>
              <w:rPr>
                <w:rFonts w:hint="eastAsia"/>
                <w:color w:val="auto"/>
                <w:lang w:val="en-US" w:eastAsia="zh-CN"/>
              </w:rPr>
            </w:pPr>
            <w:r>
              <w:rPr>
                <w:rFonts w:hint="eastAsia"/>
                <w:color w:val="auto"/>
                <w:lang w:val="en-US" w:eastAsia="zh-CN"/>
              </w:rPr>
              <w:t>无</w:t>
            </w:r>
          </w:p>
        </w:tc>
      </w:tr>
    </w:tbl>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eastAsia="宋体" w:cs="Times New Roman"/>
          <w:b/>
          <w:bCs/>
          <w:color w:val="000000"/>
          <w:kern w:val="44"/>
          <w:sz w:val="30"/>
          <w:szCs w:val="30"/>
          <w:lang w:val="en-US" w:eastAsia="zh-CN" w:bidi="ar-SA"/>
        </w:rPr>
      </w:pPr>
      <w:r>
        <w:rPr>
          <w:rStyle w:val="48"/>
          <w:rFonts w:hint="eastAsia"/>
        </w:rPr>
        <w:br w:type="page"/>
      </w:r>
      <w:bookmarkStart w:id="12" w:name="_Toc21339"/>
      <w:bookmarkStart w:id="13" w:name="_Toc22805"/>
      <w:bookmarkStart w:id="14" w:name="_Toc22290"/>
      <w:r>
        <w:rPr>
          <w:rFonts w:hint="eastAsia" w:ascii="Times New Roman" w:hAnsi="Times New Roman" w:eastAsia="宋体" w:cs="Times New Roman"/>
          <w:b/>
          <w:bCs/>
          <w:color w:val="000000"/>
          <w:kern w:val="44"/>
          <w:sz w:val="30"/>
          <w:szCs w:val="30"/>
          <w:lang w:val="en-US" w:eastAsia="zh-CN" w:bidi="ar-SA"/>
        </w:rPr>
        <w:t>四、主要环境影响和保护措施</w:t>
      </w:r>
      <w:bookmarkEnd w:id="12"/>
      <w:bookmarkEnd w:id="13"/>
      <w:bookmarkEnd w:id="14"/>
    </w:p>
    <w:tbl>
      <w:tblPr>
        <w:tblStyle w:val="2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2"/>
        <w:gridCol w:w="80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2" w:type="dxa"/>
            <w:noWrap w:val="0"/>
            <w:tcMar>
              <w:left w:w="28" w:type="dxa"/>
              <w:right w:w="28" w:type="dxa"/>
            </w:tcMar>
            <w:vAlign w:val="center"/>
          </w:tcPr>
          <w:p>
            <w:pPr>
              <w:pStyle w:val="24"/>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施工</w:t>
            </w:r>
          </w:p>
          <w:p>
            <w:pPr>
              <w:pStyle w:val="24"/>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期环</w:t>
            </w:r>
          </w:p>
          <w:p>
            <w:pPr>
              <w:pStyle w:val="24"/>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境保</w:t>
            </w:r>
          </w:p>
          <w:p>
            <w:pPr>
              <w:pStyle w:val="24"/>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护措</w:t>
            </w:r>
          </w:p>
          <w:p>
            <w:pPr>
              <w:pStyle w:val="24"/>
              <w:adjustRightInd w:val="0"/>
              <w:snapToGrid w:val="0"/>
              <w:spacing w:before="0" w:beforeAutospacing="0" w:after="0" w:afterAutospacing="0"/>
              <w:jc w:val="center"/>
              <w:rPr>
                <w:rFonts w:hint="eastAsia" w:cs="宋体"/>
                <w:bCs/>
                <w:kern w:val="2"/>
                <w:sz w:val="21"/>
                <w:szCs w:val="21"/>
              </w:rPr>
            </w:pPr>
            <w:r>
              <w:rPr>
                <w:rFonts w:hint="eastAsia" w:cs="宋体"/>
                <w:kern w:val="2"/>
                <w:sz w:val="24"/>
                <w:szCs w:val="24"/>
              </w:rPr>
              <w:t>施</w:t>
            </w:r>
          </w:p>
        </w:tc>
        <w:tc>
          <w:tcPr>
            <w:tcW w:w="8016" w:type="dxa"/>
            <w:noWrap w:val="0"/>
            <w:vAlign w:val="top"/>
          </w:tcPr>
          <w:p>
            <w:pPr>
              <w:keepNext w:val="0"/>
              <w:keepLines w:val="0"/>
              <w:widowControl/>
              <w:suppressLineNumbers w:val="0"/>
              <w:spacing w:line="360" w:lineRule="auto"/>
              <w:jc w:val="left"/>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本</w:t>
            </w:r>
            <w:r>
              <w:rPr>
                <w:rFonts w:hint="eastAsia" w:cs="Times New Roman"/>
                <w:color w:val="auto"/>
                <w:kern w:val="2"/>
                <w:sz w:val="24"/>
                <w:szCs w:val="22"/>
                <w:lang w:val="en-US" w:eastAsia="zh-CN" w:bidi="ar-SA"/>
              </w:rPr>
              <w:t>项目于2013年建成，建成年代久远，</w:t>
            </w:r>
            <w:r>
              <w:rPr>
                <w:rFonts w:hint="eastAsia" w:ascii="Times New Roman" w:hAnsi="Times New Roman" w:eastAsia="宋体" w:cs="Times New Roman"/>
                <w:color w:val="auto"/>
                <w:kern w:val="2"/>
                <w:sz w:val="24"/>
                <w:szCs w:val="22"/>
                <w:lang w:val="en-US" w:eastAsia="zh-CN" w:bidi="ar-SA"/>
              </w:rPr>
              <w:t>故本次环评不</w:t>
            </w:r>
            <w:r>
              <w:rPr>
                <w:rFonts w:hint="eastAsia" w:cs="Times New Roman"/>
                <w:color w:val="auto"/>
                <w:kern w:val="2"/>
                <w:sz w:val="24"/>
                <w:szCs w:val="22"/>
                <w:lang w:val="en-US" w:eastAsia="zh-CN" w:bidi="ar-SA"/>
              </w:rPr>
              <w:t>填写施工期的环境保护措施。</w:t>
            </w:r>
          </w:p>
          <w:p>
            <w:pPr>
              <w:pStyle w:val="82"/>
              <w:bidi w:val="0"/>
              <w:spacing w:line="240" w:lineRule="auto"/>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p>
            <w:pPr>
              <w:pStyle w:val="82"/>
              <w:bidi w:val="0"/>
              <w:spacing w:line="240" w:lineRule="auto"/>
              <w:ind w:left="0" w:leftChars="0" w:firstLine="0" w:firstLineChars="0"/>
              <w:rPr>
                <w:rFonts w:hint="eastAsia" w:ascii="宋体" w:hAnsi="宋体" w:eastAsia="宋体" w:cs="宋体"/>
                <w:bCs/>
                <w:spacing w:val="-10"/>
                <w:szCs w:val="21"/>
                <w:lang w:eastAsia="zh-CN"/>
              </w:rPr>
            </w:pPr>
          </w:p>
        </w:tc>
      </w:tr>
    </w:tbl>
    <w:p>
      <w:pPr>
        <w:adjustRightInd w:val="0"/>
        <w:snapToGrid w:val="0"/>
        <w:spacing w:line="360" w:lineRule="auto"/>
        <w:rPr>
          <w:rFonts w:hint="eastAsia" w:ascii="宋体" w:cs="宋体"/>
          <w:b/>
          <w:kern w:val="0"/>
          <w:sz w:val="28"/>
          <w:szCs w:val="28"/>
        </w:rPr>
        <w:sectPr>
          <w:pgSz w:w="11907" w:h="16840"/>
          <w:pgMar w:top="1701" w:right="1531" w:bottom="1701" w:left="1531" w:header="851" w:footer="1474" w:gutter="0"/>
          <w:pgBorders>
            <w:top w:val="none" w:sz="0" w:space="0"/>
            <w:left w:val="none" w:sz="0" w:space="0"/>
            <w:bottom w:val="none" w:sz="0" w:space="0"/>
            <w:right w:val="none" w:sz="0" w:space="0"/>
          </w:pgBorders>
          <w:pgNumType w:fmt="numberInDash"/>
          <w:cols w:space="720" w:num="1"/>
          <w:rtlGutter w:val="0"/>
          <w:docGrid w:type="lines" w:linePitch="312" w:charSpace="0"/>
        </w:sectPr>
      </w:pP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4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noWrap w:val="0"/>
            <w:vAlign w:val="center"/>
          </w:tcPr>
          <w:p>
            <w:pPr>
              <w:bidi w:val="0"/>
              <w:jc w:val="center"/>
              <w:rPr>
                <w:rFonts w:hint="eastAsia"/>
                <w:vertAlign w:val="baseline"/>
              </w:rPr>
            </w:pPr>
            <w:r>
              <w:rPr>
                <w:rFonts w:hint="eastAsia"/>
                <w:sz w:val="21"/>
                <w:szCs w:val="21"/>
              </w:rPr>
              <w:t>运营期环境影响和保护措施</w:t>
            </w:r>
          </w:p>
        </w:tc>
        <w:tc>
          <w:tcPr>
            <w:tcW w:w="14069" w:type="dxa"/>
            <w:noWrap w:val="0"/>
            <w:vAlign w:val="top"/>
          </w:tcPr>
          <w:p>
            <w:pPr>
              <w:pStyle w:val="72"/>
              <w:bidi w:val="0"/>
              <w:rPr>
                <w:rFonts w:hint="eastAsia"/>
                <w:b/>
                <w:bCs/>
                <w:lang w:val="en-US" w:eastAsia="zh-CN"/>
              </w:rPr>
            </w:pPr>
            <w:r>
              <w:rPr>
                <w:rFonts w:hint="eastAsia"/>
                <w:b/>
                <w:bCs/>
                <w:lang w:val="en-US" w:eastAsia="zh-CN"/>
              </w:rPr>
              <w:t>营运期：</w:t>
            </w:r>
          </w:p>
          <w:p>
            <w:pPr>
              <w:pStyle w:val="72"/>
              <w:bidi w:val="0"/>
              <w:rPr>
                <w:rFonts w:hint="eastAsia"/>
                <w:b/>
                <w:bCs/>
                <w:lang w:val="en-US" w:eastAsia="zh-CN"/>
              </w:rPr>
            </w:pPr>
            <w:r>
              <w:rPr>
                <w:rFonts w:hint="eastAsia"/>
                <w:b/>
                <w:bCs/>
                <w:lang w:val="en-US" w:eastAsia="zh-CN"/>
              </w:rPr>
              <w:t>1 废气</w:t>
            </w:r>
          </w:p>
          <w:p>
            <w:pPr>
              <w:spacing w:line="360" w:lineRule="auto"/>
              <w:ind w:firstLine="480" w:firstLineChars="200"/>
              <w:jc w:val="both"/>
              <w:rPr>
                <w:rFonts w:hint="eastAsia" w:ascii="Times New Roman" w:hAnsi="Times New Roman" w:eastAsia="宋体" w:cs="Times New Roman"/>
                <w:color w:val="auto"/>
                <w:kern w:val="2"/>
                <w:sz w:val="24"/>
                <w:szCs w:val="22"/>
                <w:lang w:val="en-US" w:eastAsia="zh-CN" w:bidi="ar-SA"/>
              </w:rPr>
            </w:pPr>
            <w:r>
              <w:rPr>
                <w:rStyle w:val="73"/>
                <w:rFonts w:hint="eastAsia"/>
                <w:lang w:val="en-US" w:eastAsia="zh-CN"/>
              </w:rPr>
              <w:t>本项目废气产排情况见下表</w:t>
            </w:r>
            <w:r>
              <w:rPr>
                <w:rFonts w:hint="eastAsia" w:ascii="Times New Roman" w:hAnsi="Times New Roman" w:eastAsia="宋体" w:cs="Times New Roman"/>
                <w:color w:val="auto"/>
                <w:kern w:val="2"/>
                <w:sz w:val="24"/>
                <w:szCs w:val="22"/>
                <w:lang w:val="en-US" w:eastAsia="zh-CN" w:bidi="ar-SA"/>
              </w:rPr>
              <w:t>。</w:t>
            </w:r>
          </w:p>
          <w:p>
            <w:pPr>
              <w:pStyle w:val="90"/>
              <w:bidi w:val="0"/>
              <w:rPr>
                <w:rFonts w:hint="default"/>
                <w:color w:val="auto"/>
                <w:lang w:val="en-US" w:eastAsia="zh-CN"/>
              </w:rPr>
            </w:pPr>
            <w:r>
              <w:rPr>
                <w:rFonts w:hint="eastAsia"/>
                <w:color w:val="auto"/>
                <w:lang w:val="en-US" w:eastAsia="zh-CN"/>
              </w:rPr>
              <w:t>表4-1 项目废气污染源源强核算结果一览表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6"/>
              <w:gridCol w:w="1240"/>
              <w:gridCol w:w="1084"/>
              <w:gridCol w:w="977"/>
              <w:gridCol w:w="977"/>
              <w:gridCol w:w="862"/>
              <w:gridCol w:w="870"/>
              <w:gridCol w:w="555"/>
              <w:gridCol w:w="800"/>
              <w:gridCol w:w="900"/>
              <w:gridCol w:w="834"/>
              <w:gridCol w:w="939"/>
              <w:gridCol w:w="1026"/>
              <w:gridCol w:w="1026"/>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6" w:type="dxa"/>
                  <w:vMerge w:val="restart"/>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排放口编号</w:t>
                  </w:r>
                </w:p>
              </w:tc>
              <w:tc>
                <w:tcPr>
                  <w:tcW w:w="1240" w:type="dxa"/>
                  <w:vMerge w:val="restart"/>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产污环节</w:t>
                  </w:r>
                </w:p>
              </w:tc>
              <w:tc>
                <w:tcPr>
                  <w:tcW w:w="1084" w:type="dxa"/>
                  <w:vMerge w:val="restart"/>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污染物种类</w:t>
                  </w:r>
                </w:p>
              </w:tc>
              <w:tc>
                <w:tcPr>
                  <w:tcW w:w="1954" w:type="dxa"/>
                  <w:gridSpan w:val="2"/>
                  <w:tcBorders>
                    <w:tl2br w:val="nil"/>
                    <w:tr2bl w:val="nil"/>
                  </w:tcBorders>
                  <w:noWrap/>
                  <w:tcMar>
                    <w:top w:w="15" w:type="dxa"/>
                    <w:left w:w="15" w:type="dxa"/>
                    <w:right w:w="15" w:type="dxa"/>
                  </w:tcMar>
                  <w:vAlign w:val="center"/>
                </w:tcPr>
                <w:p>
                  <w:pPr>
                    <w:pStyle w:val="61"/>
                    <w:bidi w:val="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产生情况</w:t>
                  </w:r>
                </w:p>
              </w:tc>
              <w:tc>
                <w:tcPr>
                  <w:tcW w:w="862" w:type="dxa"/>
                  <w:vMerge w:val="restart"/>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排放形式</w:t>
                  </w:r>
                </w:p>
              </w:tc>
              <w:tc>
                <w:tcPr>
                  <w:tcW w:w="4898" w:type="dxa"/>
                  <w:gridSpan w:val="6"/>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治理设施</w:t>
                  </w:r>
                </w:p>
              </w:tc>
              <w:tc>
                <w:tcPr>
                  <w:tcW w:w="3079" w:type="dxa"/>
                  <w:gridSpan w:val="3"/>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排放源强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6" w:type="dxa"/>
                  <w:vMerge w:val="continue"/>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rPr>
                  </w:pPr>
                </w:p>
              </w:tc>
              <w:tc>
                <w:tcPr>
                  <w:tcW w:w="1240" w:type="dxa"/>
                  <w:vMerge w:val="continue"/>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rPr>
                  </w:pPr>
                </w:p>
              </w:tc>
              <w:tc>
                <w:tcPr>
                  <w:tcW w:w="1084" w:type="dxa"/>
                  <w:vMerge w:val="continue"/>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rPr>
                  </w:pPr>
                </w:p>
              </w:tc>
              <w:tc>
                <w:tcPr>
                  <w:tcW w:w="977" w:type="dxa"/>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p>
                  <w:pPr>
                    <w:pStyle w:val="61"/>
                    <w:bidi w:val="0"/>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t/a</w:t>
                  </w:r>
                </w:p>
              </w:tc>
              <w:tc>
                <w:tcPr>
                  <w:tcW w:w="977" w:type="dxa"/>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浓度产生</w:t>
                  </w:r>
                  <w:r>
                    <w:rPr>
                      <w:rFonts w:hint="default" w:ascii="Times New Roman" w:hAnsi="Times New Roman" w:cs="Times New Roman"/>
                      <w:color w:val="auto"/>
                      <w:sz w:val="21"/>
                      <w:szCs w:val="21"/>
                      <w:lang w:val="en-US" w:eastAsia="zh-CN"/>
                    </w:rPr>
                    <w:t>mg/m</w:t>
                  </w:r>
                  <w:r>
                    <w:rPr>
                      <w:rFonts w:hint="default" w:ascii="Times New Roman" w:hAnsi="Times New Roman" w:cs="Times New Roman"/>
                      <w:color w:val="auto"/>
                      <w:sz w:val="21"/>
                      <w:szCs w:val="21"/>
                      <w:vertAlign w:val="superscript"/>
                      <w:lang w:val="en-US" w:eastAsia="zh-CN"/>
                    </w:rPr>
                    <w:t>3</w:t>
                  </w:r>
                </w:p>
              </w:tc>
              <w:tc>
                <w:tcPr>
                  <w:tcW w:w="862" w:type="dxa"/>
                  <w:vMerge w:val="continue"/>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rPr>
                  </w:pPr>
                </w:p>
              </w:tc>
              <w:tc>
                <w:tcPr>
                  <w:tcW w:w="1425" w:type="dxa"/>
                  <w:gridSpan w:val="2"/>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治理工艺</w:t>
                  </w:r>
                </w:p>
              </w:tc>
              <w:tc>
                <w:tcPr>
                  <w:tcW w:w="800"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color w:val="auto"/>
                      <w:sz w:val="21"/>
                      <w:szCs w:val="21"/>
                      <w:lang w:val="en-US" w:eastAsia="zh-CN"/>
                    </w:rPr>
                    <w:t>废气量</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w:t>
                  </w:r>
                </w:p>
              </w:tc>
              <w:tc>
                <w:tcPr>
                  <w:tcW w:w="900"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color w:val="auto"/>
                      <w:sz w:val="21"/>
                      <w:szCs w:val="21"/>
                      <w:lang w:val="en-US" w:eastAsia="zh-CN"/>
                    </w:rPr>
                    <w:t>收集效率%</w:t>
                  </w:r>
                </w:p>
              </w:tc>
              <w:tc>
                <w:tcPr>
                  <w:tcW w:w="834"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color w:val="auto"/>
                      <w:sz w:val="21"/>
                      <w:szCs w:val="21"/>
                      <w:lang w:val="en-US" w:eastAsia="zh-CN"/>
                    </w:rPr>
                    <w:t>治理工艺去除率%</w:t>
                  </w:r>
                </w:p>
              </w:tc>
              <w:tc>
                <w:tcPr>
                  <w:tcW w:w="939"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bCs/>
                      <w:color w:val="auto"/>
                      <w:kern w:val="0"/>
                      <w:sz w:val="21"/>
                      <w:szCs w:val="21"/>
                      <w:lang w:val="en-US" w:eastAsia="zh-CN" w:bidi="ar-SA"/>
                    </w:rPr>
                    <w:t>是否为可行技术</w:t>
                  </w:r>
                </w:p>
              </w:tc>
              <w:tc>
                <w:tcPr>
                  <w:tcW w:w="1026" w:type="dxa"/>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排放量</w:t>
                  </w:r>
                </w:p>
                <w:p>
                  <w:pPr>
                    <w:pStyle w:val="6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t/a</w:t>
                  </w:r>
                </w:p>
              </w:tc>
              <w:tc>
                <w:tcPr>
                  <w:tcW w:w="1026" w:type="dxa"/>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排放速率kg/h</w:t>
                  </w:r>
                </w:p>
              </w:tc>
              <w:tc>
                <w:tcPr>
                  <w:tcW w:w="1027" w:type="dxa"/>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排放浓度mg/m</w:t>
                  </w:r>
                  <w:r>
                    <w:rPr>
                      <w:rFonts w:hint="default" w:ascii="Times New Roman" w:hAnsi="Times New Roman"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726" w:type="dxa"/>
                  <w:tcBorders>
                    <w:tl2br w:val="nil"/>
                    <w:tr2bl w:val="nil"/>
                  </w:tcBorders>
                  <w:noWrap/>
                  <w:tcMar>
                    <w:top w:w="15" w:type="dxa"/>
                    <w:left w:w="15" w:type="dxa"/>
                    <w:right w:w="15" w:type="dxa"/>
                  </w:tcMar>
                  <w:vAlign w:val="center"/>
                </w:tcPr>
                <w:p>
                  <w:pPr>
                    <w:pStyle w:val="39"/>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DA001</w:t>
                  </w:r>
                </w:p>
              </w:tc>
              <w:tc>
                <w:tcPr>
                  <w:tcW w:w="1240" w:type="dxa"/>
                  <w:tcBorders>
                    <w:tl2br w:val="nil"/>
                    <w:tr2bl w:val="nil"/>
                  </w:tcBorders>
                  <w:noWrap/>
                  <w:tcMar>
                    <w:top w:w="15" w:type="dxa"/>
                    <w:left w:w="15" w:type="dxa"/>
                    <w:right w:w="15" w:type="dxa"/>
                  </w:tcMar>
                  <w:vAlign w:val="center"/>
                </w:tcPr>
                <w:p>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熔炼</w:t>
                  </w:r>
                </w:p>
              </w:tc>
              <w:tc>
                <w:tcPr>
                  <w:tcW w:w="1084"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颗粒物</w:t>
                  </w:r>
                </w:p>
              </w:tc>
              <w:tc>
                <w:tcPr>
                  <w:tcW w:w="977"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0.819</w:t>
                  </w:r>
                </w:p>
              </w:tc>
              <w:tc>
                <w:tcPr>
                  <w:tcW w:w="977"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162.5</w:t>
                  </w:r>
                </w:p>
              </w:tc>
              <w:tc>
                <w:tcPr>
                  <w:tcW w:w="862"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有组织</w:t>
                  </w:r>
                </w:p>
              </w:tc>
              <w:tc>
                <w:tcPr>
                  <w:tcW w:w="1425" w:type="dxa"/>
                  <w:gridSpan w:val="2"/>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集气罩+布袋除尘器</w:t>
                  </w:r>
                </w:p>
              </w:tc>
              <w:tc>
                <w:tcPr>
                  <w:tcW w:w="800" w:type="dxa"/>
                  <w:tcBorders>
                    <w:tl2br w:val="nil"/>
                    <w:tr2bl w:val="nil"/>
                  </w:tcBorders>
                  <w:noWrap/>
                  <w:tcMar>
                    <w:top w:w="15" w:type="dxa"/>
                    <w:left w:w="15" w:type="dxa"/>
                    <w:right w:w="15" w:type="dxa"/>
                  </w:tcMar>
                  <w:vAlign w:val="center"/>
                </w:tcPr>
                <w:p>
                  <w:pPr>
                    <w:pStyle w:val="61"/>
                    <w:bidi w:val="0"/>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8000</w:t>
                  </w:r>
                </w:p>
              </w:tc>
              <w:tc>
                <w:tcPr>
                  <w:tcW w:w="900" w:type="dxa"/>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90</w:t>
                  </w:r>
                </w:p>
              </w:tc>
              <w:tc>
                <w:tcPr>
                  <w:tcW w:w="834"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99</w:t>
                  </w:r>
                </w:p>
              </w:tc>
              <w:tc>
                <w:tcPr>
                  <w:tcW w:w="939" w:type="dxa"/>
                  <w:tcBorders>
                    <w:tl2br w:val="nil"/>
                    <w:tr2bl w:val="nil"/>
                  </w:tcBorders>
                  <w:noWrap/>
                  <w:tcMar>
                    <w:top w:w="15" w:type="dxa"/>
                    <w:left w:w="15" w:type="dxa"/>
                    <w:right w:w="15" w:type="dxa"/>
                  </w:tcMar>
                  <w:vAlign w:val="center"/>
                </w:tcPr>
                <w:p>
                  <w:pPr>
                    <w:pStyle w:val="61"/>
                    <w:bidi w:val="0"/>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是</w:t>
                  </w:r>
                </w:p>
              </w:tc>
              <w:tc>
                <w:tcPr>
                  <w:tcW w:w="1026" w:type="dxa"/>
                  <w:tcBorders>
                    <w:tl2br w:val="nil"/>
                    <w:tr2bl w:val="nil"/>
                  </w:tcBorders>
                  <w:noWrap/>
                  <w:tcMar>
                    <w:top w:w="15" w:type="dxa"/>
                    <w:left w:w="15" w:type="dxa"/>
                    <w:right w:w="15" w:type="dxa"/>
                  </w:tcMar>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0.008</w:t>
                  </w:r>
                </w:p>
              </w:tc>
              <w:tc>
                <w:tcPr>
                  <w:tcW w:w="1026" w:type="dxa"/>
                  <w:tcBorders>
                    <w:tl2br w:val="nil"/>
                    <w:tr2bl w:val="nil"/>
                  </w:tcBorders>
                  <w:noWrap/>
                  <w:tcMar>
                    <w:top w:w="15" w:type="dxa"/>
                    <w:left w:w="15" w:type="dxa"/>
                    <w:right w:w="15" w:type="dxa"/>
                  </w:tcMar>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default" w:cs="Times New Roman"/>
                      <w:color w:val="auto"/>
                      <w:kern w:val="2"/>
                      <w:sz w:val="21"/>
                      <w:szCs w:val="22"/>
                      <w:lang w:val="en-US" w:eastAsia="zh-CN" w:bidi="ar-SA"/>
                    </w:rPr>
                  </w:pPr>
                  <w:r>
                    <w:rPr>
                      <w:rFonts w:hint="eastAsia" w:cs="Times New Roman"/>
                      <w:color w:val="auto"/>
                      <w:kern w:val="2"/>
                      <w:sz w:val="21"/>
                      <w:szCs w:val="22"/>
                      <w:lang w:val="en-US" w:eastAsia="zh-CN" w:bidi="ar-SA"/>
                    </w:rPr>
                    <w:t>0.013</w:t>
                  </w:r>
                </w:p>
              </w:tc>
              <w:tc>
                <w:tcPr>
                  <w:tcW w:w="1027" w:type="dxa"/>
                  <w:tcBorders>
                    <w:tl2br w:val="nil"/>
                    <w:tr2bl w:val="nil"/>
                  </w:tcBorders>
                  <w:noWrap/>
                  <w:tcMar>
                    <w:top w:w="15" w:type="dxa"/>
                    <w:left w:w="15" w:type="dxa"/>
                    <w:right w:w="15" w:type="dxa"/>
                  </w:tcMar>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textAlignment w:val="auto"/>
                    <w:rPr>
                      <w:rFonts w:hint="default"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1.625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26" w:type="dxa"/>
                  <w:vMerge w:val="restart"/>
                  <w:tcBorders>
                    <w:tl2br w:val="nil"/>
                    <w:tr2bl w:val="nil"/>
                  </w:tcBorders>
                  <w:noWrap/>
                  <w:tcMar>
                    <w:top w:w="15" w:type="dxa"/>
                    <w:left w:w="15" w:type="dxa"/>
                    <w:right w:w="15" w:type="dxa"/>
                  </w:tcMar>
                  <w:vAlign w:val="center"/>
                </w:tcPr>
                <w:p>
                  <w:pPr>
                    <w:pStyle w:val="39"/>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DA002</w:t>
                  </w:r>
                </w:p>
              </w:tc>
              <w:tc>
                <w:tcPr>
                  <w:tcW w:w="1240" w:type="dxa"/>
                  <w:tcBorders>
                    <w:tl2br w:val="nil"/>
                    <w:tr2bl w:val="nil"/>
                  </w:tcBorders>
                  <w:noWrap/>
                  <w:tcMar>
                    <w:top w:w="15" w:type="dxa"/>
                    <w:left w:w="15" w:type="dxa"/>
                    <w:right w:w="15" w:type="dxa"/>
                  </w:tcMar>
                  <w:vAlign w:val="center"/>
                </w:tcPr>
                <w:p>
                  <w:pPr>
                    <w:pStyle w:val="39"/>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cs="Times New Roman"/>
                      <w:b w:val="0"/>
                      <w:bCs w:val="0"/>
                      <w:spacing w:val="-5"/>
                      <w:sz w:val="21"/>
                      <w:szCs w:val="21"/>
                      <w:lang w:eastAsia="zh-CN"/>
                    </w:rPr>
                    <w:t>浇注</w:t>
                  </w:r>
                </w:p>
              </w:tc>
              <w:tc>
                <w:tcPr>
                  <w:tcW w:w="1084"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sz w:val="21"/>
                      <w:szCs w:val="21"/>
                      <w:lang w:val="en-US" w:eastAsia="zh-CN"/>
                    </w:rPr>
                    <w:t>颗粒物</w:t>
                  </w:r>
                </w:p>
              </w:tc>
              <w:tc>
                <w:tcPr>
                  <w:tcW w:w="977"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cs="Times New Roman"/>
                      <w:b w:val="0"/>
                      <w:bCs w:val="0"/>
                      <w:color w:val="auto"/>
                      <w:kern w:val="0"/>
                      <w:sz w:val="21"/>
                      <w:szCs w:val="21"/>
                      <w:lang w:val="en-US" w:eastAsia="zh-CN" w:bidi="ar-SA"/>
                    </w:rPr>
                    <w:t>1.76</w:t>
                  </w:r>
                </w:p>
              </w:tc>
              <w:tc>
                <w:tcPr>
                  <w:tcW w:w="977"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cs="Times New Roman"/>
                      <w:b w:val="0"/>
                      <w:bCs w:val="0"/>
                      <w:color w:val="auto"/>
                      <w:kern w:val="0"/>
                      <w:sz w:val="21"/>
                      <w:szCs w:val="21"/>
                      <w:lang w:val="en-US" w:eastAsia="zh-CN" w:bidi="ar-SA"/>
                    </w:rPr>
                    <w:t>293</w:t>
                  </w:r>
                </w:p>
              </w:tc>
              <w:tc>
                <w:tcPr>
                  <w:tcW w:w="862" w:type="dxa"/>
                  <w:vMerge w:val="restart"/>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color w:val="auto"/>
                      <w:sz w:val="21"/>
                      <w:szCs w:val="21"/>
                      <w:lang w:val="en-US" w:eastAsia="zh-CN"/>
                    </w:rPr>
                    <w:t>有组织</w:t>
                  </w:r>
                </w:p>
              </w:tc>
              <w:tc>
                <w:tcPr>
                  <w:tcW w:w="870" w:type="dxa"/>
                  <w:tcBorders>
                    <w:tl2br w:val="nil"/>
                    <w:tr2bl w:val="nil"/>
                  </w:tcBorders>
                  <w:noWrap/>
                  <w:tcMar>
                    <w:top w:w="15" w:type="dxa"/>
                    <w:left w:w="15" w:type="dxa"/>
                    <w:right w:w="15" w:type="dxa"/>
                  </w:tcMar>
                  <w:vAlign w:val="center"/>
                </w:tcPr>
                <w:p>
                  <w:pPr>
                    <w:pStyle w:val="61"/>
                    <w:bidi w:val="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color w:val="auto"/>
                      <w:kern w:val="0"/>
                      <w:sz w:val="21"/>
                      <w:szCs w:val="21"/>
                      <w:lang w:val="en-US" w:eastAsia="zh-CN" w:bidi="ar-SA"/>
                    </w:rPr>
                    <w:t>集气罩</w:t>
                  </w:r>
                </w:p>
              </w:tc>
              <w:tc>
                <w:tcPr>
                  <w:tcW w:w="555" w:type="dxa"/>
                  <w:vMerge w:val="restart"/>
                  <w:tcBorders>
                    <w:tl2br w:val="nil"/>
                    <w:tr2bl w:val="nil"/>
                  </w:tcBorders>
                  <w:noWrap/>
                  <w:tcMar>
                    <w:top w:w="15" w:type="dxa"/>
                    <w:left w:w="15" w:type="dxa"/>
                    <w:right w:w="15" w:type="dxa"/>
                  </w:tcMar>
                  <w:vAlign w:val="center"/>
                </w:tcPr>
                <w:p>
                  <w:pPr>
                    <w:pStyle w:val="61"/>
                    <w:bidi w:val="0"/>
                    <w:jc w:val="center"/>
                    <w:rPr>
                      <w:rFonts w:hint="eastAsia"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布袋除尘器</w:t>
                  </w:r>
                </w:p>
              </w:tc>
              <w:tc>
                <w:tcPr>
                  <w:tcW w:w="800" w:type="dxa"/>
                  <w:tcBorders>
                    <w:tl2br w:val="nil"/>
                    <w:tr2bl w:val="nil"/>
                  </w:tcBorders>
                  <w:noWrap/>
                  <w:tcMar>
                    <w:top w:w="15" w:type="dxa"/>
                    <w:left w:w="15" w:type="dxa"/>
                    <w:right w:w="15" w:type="dxa"/>
                  </w:tcMar>
                  <w:vAlign w:val="center"/>
                </w:tcPr>
                <w:p>
                  <w:pPr>
                    <w:pStyle w:val="61"/>
                    <w:bidi w:val="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bCs/>
                      <w:color w:val="auto"/>
                      <w:kern w:val="0"/>
                      <w:sz w:val="21"/>
                      <w:szCs w:val="21"/>
                      <w:lang w:val="en-US" w:eastAsia="zh-CN" w:bidi="ar-SA"/>
                    </w:rPr>
                    <w:t>10000</w:t>
                  </w:r>
                </w:p>
              </w:tc>
              <w:tc>
                <w:tcPr>
                  <w:tcW w:w="900" w:type="dxa"/>
                  <w:tcBorders>
                    <w:tl2br w:val="nil"/>
                    <w:tr2bl w:val="nil"/>
                  </w:tcBorders>
                  <w:noWrap/>
                  <w:tcMar>
                    <w:top w:w="15" w:type="dxa"/>
                    <w:left w:w="15" w:type="dxa"/>
                    <w:right w:w="15" w:type="dxa"/>
                  </w:tcMar>
                  <w:vAlign w:val="center"/>
                </w:tcPr>
                <w:p>
                  <w:pPr>
                    <w:pStyle w:val="61"/>
                    <w:bidi w:val="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color w:val="auto"/>
                      <w:sz w:val="21"/>
                      <w:szCs w:val="21"/>
                      <w:lang w:val="en-US" w:eastAsia="zh-CN"/>
                    </w:rPr>
                    <w:t>90</w:t>
                  </w:r>
                </w:p>
              </w:tc>
              <w:tc>
                <w:tcPr>
                  <w:tcW w:w="834" w:type="dxa"/>
                  <w:tcBorders>
                    <w:tl2br w:val="nil"/>
                    <w:tr2bl w:val="nil"/>
                  </w:tcBorders>
                  <w:noWrap/>
                  <w:tcMar>
                    <w:top w:w="15" w:type="dxa"/>
                    <w:left w:w="15" w:type="dxa"/>
                    <w:right w:w="15" w:type="dxa"/>
                  </w:tcMar>
                  <w:vAlign w:val="center"/>
                </w:tcPr>
                <w:p>
                  <w:pPr>
                    <w:pStyle w:val="61"/>
                    <w:bidi w:val="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color w:val="auto"/>
                      <w:sz w:val="21"/>
                      <w:szCs w:val="21"/>
                      <w:lang w:val="en-US" w:eastAsia="zh-CN"/>
                    </w:rPr>
                    <w:t>99</w:t>
                  </w:r>
                </w:p>
              </w:tc>
              <w:tc>
                <w:tcPr>
                  <w:tcW w:w="939" w:type="dxa"/>
                  <w:tcBorders>
                    <w:tl2br w:val="nil"/>
                    <w:tr2bl w:val="nil"/>
                  </w:tcBorders>
                  <w:noWrap/>
                  <w:tcMar>
                    <w:top w:w="15" w:type="dxa"/>
                    <w:left w:w="15" w:type="dxa"/>
                    <w:right w:w="15" w:type="dxa"/>
                  </w:tcMar>
                  <w:vAlign w:val="center"/>
                </w:tcPr>
                <w:p>
                  <w:pPr>
                    <w:pStyle w:val="61"/>
                    <w:bidi w:val="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color w:val="auto"/>
                      <w:sz w:val="21"/>
                      <w:szCs w:val="21"/>
                      <w:lang w:val="en-US" w:eastAsia="zh-CN"/>
                    </w:rPr>
                    <w:t>是</w:t>
                  </w:r>
                </w:p>
              </w:tc>
              <w:tc>
                <w:tcPr>
                  <w:tcW w:w="1026"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0.018</w:t>
                  </w:r>
                </w:p>
              </w:tc>
              <w:tc>
                <w:tcPr>
                  <w:tcW w:w="1026"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0.029</w:t>
                  </w:r>
                </w:p>
              </w:tc>
              <w:tc>
                <w:tcPr>
                  <w:tcW w:w="10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26" w:type="dxa"/>
                  <w:vMerge w:val="continue"/>
                  <w:tcBorders>
                    <w:tl2br w:val="nil"/>
                    <w:tr2bl w:val="nil"/>
                  </w:tcBorders>
                  <w:noWrap/>
                  <w:tcMar>
                    <w:top w:w="15" w:type="dxa"/>
                    <w:left w:w="15" w:type="dxa"/>
                    <w:right w:w="15" w:type="dxa"/>
                  </w:tcMar>
                  <w:vAlign w:val="center"/>
                </w:tcPr>
                <w:p>
                  <w:pPr>
                    <w:pStyle w:val="39"/>
                    <w:bidi w:val="0"/>
                    <w:rPr>
                      <w:rFonts w:hint="eastAsia" w:cs="Times New Roman"/>
                      <w:color w:val="auto"/>
                      <w:sz w:val="21"/>
                      <w:szCs w:val="21"/>
                      <w:lang w:val="en-US" w:eastAsia="zh-CN"/>
                    </w:rPr>
                  </w:pPr>
                </w:p>
              </w:tc>
              <w:tc>
                <w:tcPr>
                  <w:tcW w:w="1240" w:type="dxa"/>
                  <w:tcBorders>
                    <w:tl2br w:val="nil"/>
                    <w:tr2bl w:val="nil"/>
                  </w:tcBorders>
                  <w:noWrap/>
                  <w:tcMar>
                    <w:top w:w="15" w:type="dxa"/>
                    <w:left w:w="15" w:type="dxa"/>
                    <w:right w:w="15" w:type="dxa"/>
                  </w:tcMar>
                  <w:vAlign w:val="center"/>
                </w:tcPr>
                <w:p>
                  <w:pPr>
                    <w:pStyle w:val="39"/>
                    <w:keepNext w:val="0"/>
                    <w:keepLines w:val="0"/>
                    <w:pageBreakBefore w:val="0"/>
                    <w:widowControl/>
                    <w:kinsoku/>
                    <w:wordWrap/>
                    <w:overflowPunct/>
                    <w:topLinePunct w:val="0"/>
                    <w:autoSpaceDE/>
                    <w:autoSpaceDN/>
                    <w:bidi w:val="0"/>
                    <w:adjustRightInd/>
                    <w:snapToGrid/>
                    <w:jc w:val="center"/>
                    <w:textAlignment w:val="auto"/>
                    <w:rPr>
                      <w:rFonts w:hint="eastAsia" w:cs="Times New Roman"/>
                      <w:b w:val="0"/>
                      <w:bCs w:val="0"/>
                      <w:spacing w:val="-5"/>
                      <w:sz w:val="21"/>
                      <w:szCs w:val="21"/>
                      <w:lang w:eastAsia="zh-CN"/>
                    </w:rPr>
                  </w:pPr>
                  <w:r>
                    <w:rPr>
                      <w:rFonts w:hint="eastAsia" w:cs="Times New Roman"/>
                      <w:b w:val="0"/>
                      <w:bCs w:val="0"/>
                      <w:spacing w:val="-5"/>
                      <w:sz w:val="21"/>
                      <w:szCs w:val="21"/>
                      <w:lang w:eastAsia="zh-CN"/>
                    </w:rPr>
                    <w:t>砂处理</w:t>
                  </w:r>
                </w:p>
              </w:tc>
              <w:tc>
                <w:tcPr>
                  <w:tcW w:w="1084" w:type="dxa"/>
                  <w:tcBorders>
                    <w:tl2br w:val="nil"/>
                    <w:tr2bl w:val="nil"/>
                  </w:tcBorders>
                  <w:noWrap/>
                  <w:tcMar>
                    <w:top w:w="15" w:type="dxa"/>
                    <w:left w:w="15" w:type="dxa"/>
                    <w:right w:w="15" w:type="dxa"/>
                  </w:tcMar>
                  <w:vAlign w:val="center"/>
                </w:tcPr>
                <w:p>
                  <w:pPr>
                    <w:pStyle w:val="61"/>
                    <w:bidi w:val="0"/>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颗粒物</w:t>
                  </w:r>
                </w:p>
              </w:tc>
              <w:tc>
                <w:tcPr>
                  <w:tcW w:w="977" w:type="dxa"/>
                  <w:tcBorders>
                    <w:tl2br w:val="nil"/>
                    <w:tr2bl w:val="nil"/>
                  </w:tcBorders>
                  <w:noWrap/>
                  <w:tcMar>
                    <w:top w:w="15" w:type="dxa"/>
                    <w:left w:w="15" w:type="dxa"/>
                    <w:right w:w="15" w:type="dxa"/>
                  </w:tcMar>
                  <w:vAlign w:val="center"/>
                </w:tcPr>
                <w:p>
                  <w:pPr>
                    <w:pStyle w:val="61"/>
                    <w:bidi w:val="0"/>
                    <w:rPr>
                      <w:rFonts w:hint="default" w:ascii="Times New Roman" w:cs="Times New Roman"/>
                      <w:b w:val="0"/>
                      <w:bCs w:val="0"/>
                      <w:color w:val="auto"/>
                      <w:kern w:val="0"/>
                      <w:sz w:val="21"/>
                      <w:szCs w:val="21"/>
                      <w:lang w:val="en-US" w:eastAsia="zh-CN" w:bidi="ar-SA"/>
                    </w:rPr>
                  </w:pPr>
                  <w:r>
                    <w:rPr>
                      <w:rFonts w:hint="eastAsia" w:ascii="Times New Roman" w:cs="Times New Roman"/>
                      <w:b w:val="0"/>
                      <w:bCs w:val="0"/>
                      <w:color w:val="auto"/>
                      <w:kern w:val="0"/>
                      <w:sz w:val="21"/>
                      <w:szCs w:val="21"/>
                      <w:lang w:val="en-US" w:eastAsia="zh-CN" w:bidi="ar-SA"/>
                    </w:rPr>
                    <w:t>30.4</w:t>
                  </w:r>
                </w:p>
              </w:tc>
              <w:tc>
                <w:tcPr>
                  <w:tcW w:w="977" w:type="dxa"/>
                  <w:tcBorders>
                    <w:tl2br w:val="nil"/>
                    <w:tr2bl w:val="nil"/>
                  </w:tcBorders>
                  <w:noWrap/>
                  <w:tcMar>
                    <w:top w:w="15" w:type="dxa"/>
                    <w:left w:w="15" w:type="dxa"/>
                    <w:right w:w="15" w:type="dxa"/>
                  </w:tcMar>
                  <w:vAlign w:val="center"/>
                </w:tcPr>
                <w:p>
                  <w:pPr>
                    <w:pStyle w:val="61"/>
                    <w:bidi w:val="0"/>
                    <w:rPr>
                      <w:rFonts w:hint="default" w:ascii="Times New Roman" w:cs="Times New Roman"/>
                      <w:b w:val="0"/>
                      <w:bCs w:val="0"/>
                      <w:color w:val="auto"/>
                      <w:kern w:val="0"/>
                      <w:sz w:val="21"/>
                      <w:szCs w:val="21"/>
                      <w:lang w:val="en-US" w:eastAsia="zh-CN" w:bidi="ar-SA"/>
                    </w:rPr>
                  </w:pPr>
                  <w:r>
                    <w:rPr>
                      <w:rFonts w:hint="eastAsia" w:ascii="Times New Roman" w:cs="Times New Roman"/>
                      <w:b w:val="0"/>
                      <w:bCs w:val="0"/>
                      <w:color w:val="auto"/>
                      <w:kern w:val="0"/>
                      <w:sz w:val="21"/>
                      <w:szCs w:val="21"/>
                      <w:lang w:val="en-US" w:eastAsia="zh-CN" w:bidi="ar-SA"/>
                    </w:rPr>
                    <w:t>2530</w:t>
                  </w:r>
                </w:p>
              </w:tc>
              <w:tc>
                <w:tcPr>
                  <w:tcW w:w="862" w:type="dxa"/>
                  <w:vMerge w:val="continue"/>
                  <w:tcBorders>
                    <w:tl2br w:val="nil"/>
                    <w:tr2bl w:val="nil"/>
                  </w:tcBorders>
                  <w:noWrap/>
                  <w:tcMar>
                    <w:top w:w="15" w:type="dxa"/>
                    <w:left w:w="15" w:type="dxa"/>
                    <w:right w:w="15" w:type="dxa"/>
                  </w:tcMar>
                  <w:vAlign w:val="center"/>
                </w:tcPr>
                <w:p>
                  <w:pPr>
                    <w:pStyle w:val="61"/>
                    <w:bidi w:val="0"/>
                    <w:rPr>
                      <w:rFonts w:hint="eastAsia" w:ascii="Times New Roman" w:cs="Times New Roman"/>
                      <w:color w:val="auto"/>
                      <w:sz w:val="21"/>
                      <w:szCs w:val="21"/>
                      <w:lang w:val="en-US" w:eastAsia="zh-CN"/>
                    </w:rPr>
                  </w:pPr>
                </w:p>
              </w:tc>
              <w:tc>
                <w:tcPr>
                  <w:tcW w:w="870" w:type="dxa"/>
                  <w:tcBorders>
                    <w:tl2br w:val="nil"/>
                    <w:tr2bl w:val="nil"/>
                  </w:tcBorders>
                  <w:noWrap/>
                  <w:tcMar>
                    <w:top w:w="15" w:type="dxa"/>
                    <w:left w:w="15" w:type="dxa"/>
                    <w:right w:w="15" w:type="dxa"/>
                  </w:tcMar>
                  <w:vAlign w:val="center"/>
                </w:tcPr>
                <w:p>
                  <w:pPr>
                    <w:pStyle w:val="61"/>
                    <w:bidi w:val="0"/>
                    <w:jc w:val="center"/>
                    <w:rPr>
                      <w:rFonts w:hint="default"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封闭罩</w:t>
                  </w:r>
                </w:p>
              </w:tc>
              <w:tc>
                <w:tcPr>
                  <w:tcW w:w="555" w:type="dxa"/>
                  <w:vMerge w:val="continue"/>
                  <w:tcBorders>
                    <w:tl2br w:val="nil"/>
                    <w:tr2bl w:val="nil"/>
                  </w:tcBorders>
                  <w:noWrap/>
                  <w:tcMar>
                    <w:top w:w="15" w:type="dxa"/>
                    <w:left w:w="15" w:type="dxa"/>
                    <w:right w:w="15" w:type="dxa"/>
                  </w:tcMar>
                  <w:vAlign w:val="center"/>
                </w:tcPr>
                <w:p>
                  <w:pPr>
                    <w:pStyle w:val="61"/>
                    <w:bidi w:val="0"/>
                    <w:jc w:val="center"/>
                    <w:rPr>
                      <w:rFonts w:hint="eastAsia" w:ascii="Times New Roman" w:cs="Times New Roman"/>
                      <w:color w:val="auto"/>
                      <w:kern w:val="0"/>
                      <w:sz w:val="21"/>
                      <w:szCs w:val="21"/>
                      <w:lang w:val="en-US" w:eastAsia="zh-CN" w:bidi="ar-SA"/>
                    </w:rPr>
                  </w:pPr>
                </w:p>
              </w:tc>
              <w:tc>
                <w:tcPr>
                  <w:tcW w:w="800" w:type="dxa"/>
                  <w:tcBorders>
                    <w:tl2br w:val="nil"/>
                    <w:tr2bl w:val="nil"/>
                  </w:tcBorders>
                  <w:noWrap/>
                  <w:tcMar>
                    <w:top w:w="15" w:type="dxa"/>
                    <w:left w:w="15" w:type="dxa"/>
                    <w:right w:w="15" w:type="dxa"/>
                  </w:tcMar>
                  <w:vAlign w:val="center"/>
                </w:tcPr>
                <w:p>
                  <w:pPr>
                    <w:pStyle w:val="61"/>
                    <w:bidi w:val="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cs="Times New Roman"/>
                      <w:bCs/>
                      <w:color w:val="auto"/>
                      <w:kern w:val="0"/>
                      <w:sz w:val="21"/>
                      <w:szCs w:val="21"/>
                      <w:lang w:val="en-US" w:eastAsia="zh-CN" w:bidi="ar-SA"/>
                    </w:rPr>
                    <w:t>10000</w:t>
                  </w:r>
                </w:p>
              </w:tc>
              <w:tc>
                <w:tcPr>
                  <w:tcW w:w="900" w:type="dxa"/>
                  <w:tcBorders>
                    <w:tl2br w:val="nil"/>
                    <w:tr2bl w:val="nil"/>
                  </w:tcBorders>
                  <w:noWrap/>
                  <w:tcMar>
                    <w:top w:w="15" w:type="dxa"/>
                    <w:left w:w="15" w:type="dxa"/>
                    <w:right w:w="15" w:type="dxa"/>
                  </w:tcMar>
                  <w:vAlign w:val="center"/>
                </w:tcPr>
                <w:p>
                  <w:pPr>
                    <w:pStyle w:val="61"/>
                    <w:bidi w:val="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color w:val="auto"/>
                      <w:sz w:val="21"/>
                      <w:szCs w:val="21"/>
                      <w:lang w:val="en-US" w:eastAsia="zh-CN"/>
                    </w:rPr>
                    <w:t>100</w:t>
                  </w:r>
                </w:p>
              </w:tc>
              <w:tc>
                <w:tcPr>
                  <w:tcW w:w="834" w:type="dxa"/>
                  <w:tcBorders>
                    <w:tl2br w:val="nil"/>
                    <w:tr2bl w:val="nil"/>
                  </w:tcBorders>
                  <w:noWrap/>
                  <w:tcMar>
                    <w:top w:w="15" w:type="dxa"/>
                    <w:left w:w="15" w:type="dxa"/>
                    <w:right w:w="15" w:type="dxa"/>
                  </w:tcMar>
                  <w:vAlign w:val="center"/>
                </w:tcPr>
                <w:p>
                  <w:pPr>
                    <w:pStyle w:val="61"/>
                    <w:bidi w:val="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bCs/>
                      <w:color w:val="auto"/>
                      <w:kern w:val="0"/>
                      <w:sz w:val="21"/>
                      <w:szCs w:val="21"/>
                      <w:lang w:val="en-US" w:eastAsia="zh-CN" w:bidi="ar-SA"/>
                    </w:rPr>
                    <w:t>99</w:t>
                  </w:r>
                </w:p>
              </w:tc>
              <w:tc>
                <w:tcPr>
                  <w:tcW w:w="939" w:type="dxa"/>
                  <w:tcBorders>
                    <w:tl2br w:val="nil"/>
                    <w:tr2bl w:val="nil"/>
                  </w:tcBorders>
                  <w:noWrap/>
                  <w:tcMar>
                    <w:top w:w="15" w:type="dxa"/>
                    <w:left w:w="15" w:type="dxa"/>
                    <w:right w:w="15" w:type="dxa"/>
                  </w:tcMar>
                  <w:vAlign w:val="center"/>
                </w:tcPr>
                <w:p>
                  <w:pPr>
                    <w:pStyle w:val="61"/>
                    <w:bidi w:val="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cs="Times New Roman"/>
                      <w:color w:val="auto"/>
                      <w:sz w:val="21"/>
                      <w:szCs w:val="21"/>
                      <w:lang w:val="en-US" w:eastAsia="zh-CN"/>
                    </w:rPr>
                    <w:t>是</w:t>
                  </w:r>
                </w:p>
              </w:tc>
              <w:tc>
                <w:tcPr>
                  <w:tcW w:w="1026"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0.304</w:t>
                  </w:r>
                </w:p>
              </w:tc>
              <w:tc>
                <w:tcPr>
                  <w:tcW w:w="1026"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0.253</w:t>
                  </w:r>
                </w:p>
              </w:tc>
              <w:tc>
                <w:tcPr>
                  <w:tcW w:w="10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6" w:type="dxa"/>
                  <w:vMerge w:val="restart"/>
                  <w:tcBorders>
                    <w:tl2br w:val="nil"/>
                    <w:tr2bl w:val="nil"/>
                  </w:tcBorders>
                  <w:noWrap/>
                  <w:tcMar>
                    <w:top w:w="15" w:type="dxa"/>
                    <w:left w:w="15" w:type="dxa"/>
                    <w:right w:w="15" w:type="dxa"/>
                  </w:tcMar>
                  <w:vAlign w:val="center"/>
                </w:tcPr>
                <w:p>
                  <w:pPr>
                    <w:pStyle w:val="39"/>
                    <w:bidi w:val="0"/>
                    <w:rPr>
                      <w:rFonts w:hint="default" w:cs="Times New Roman"/>
                      <w:color w:val="auto"/>
                      <w:sz w:val="21"/>
                      <w:szCs w:val="21"/>
                      <w:lang w:val="en-US" w:eastAsia="zh-CN"/>
                    </w:rPr>
                  </w:pPr>
                  <w:r>
                    <w:rPr>
                      <w:rFonts w:hint="eastAsia" w:cs="Times New Roman"/>
                      <w:color w:val="auto"/>
                      <w:sz w:val="21"/>
                      <w:szCs w:val="21"/>
                      <w:lang w:val="en-US" w:eastAsia="zh-CN"/>
                    </w:rPr>
                    <w:t>DA003</w:t>
                  </w:r>
                </w:p>
              </w:tc>
              <w:tc>
                <w:tcPr>
                  <w:tcW w:w="1240" w:type="dxa"/>
                  <w:vMerge w:val="restart"/>
                  <w:tcBorders>
                    <w:tl2br w:val="nil"/>
                    <w:tr2bl w:val="nil"/>
                  </w:tcBorders>
                  <w:noWrap/>
                  <w:tcMar>
                    <w:top w:w="15" w:type="dxa"/>
                    <w:left w:w="15" w:type="dxa"/>
                    <w:right w:w="15" w:type="dxa"/>
                  </w:tcMar>
                  <w:vAlign w:val="center"/>
                </w:tcPr>
                <w:p>
                  <w:pPr>
                    <w:pStyle w:val="39"/>
                    <w:keepNext w:val="0"/>
                    <w:keepLines w:val="0"/>
                    <w:pageBreakBefore w:val="0"/>
                    <w:widowControl/>
                    <w:kinsoku/>
                    <w:wordWrap/>
                    <w:overflowPunct/>
                    <w:topLinePunct w:val="0"/>
                    <w:autoSpaceDE/>
                    <w:autoSpaceDN/>
                    <w:bidi w:val="0"/>
                    <w:adjustRightInd/>
                    <w:snapToGrid/>
                    <w:textAlignment w:val="auto"/>
                    <w:rPr>
                      <w:rFonts w:hint="default" w:eastAsia="宋体"/>
                      <w:b w:val="0"/>
                      <w:bCs w:val="0"/>
                      <w:sz w:val="21"/>
                      <w:szCs w:val="21"/>
                      <w:lang w:val="en-US" w:eastAsia="zh-CN"/>
                    </w:rPr>
                  </w:pPr>
                  <w:r>
                    <w:rPr>
                      <w:rFonts w:ascii="宋体" w:hAnsi="宋体" w:eastAsia="宋体" w:cs="宋体"/>
                      <w:b w:val="0"/>
                      <w:bCs w:val="0"/>
                      <w:spacing w:val="-1"/>
                      <w:sz w:val="21"/>
                      <w:szCs w:val="21"/>
                    </w:rPr>
                    <w:t>冷芯盒</w:t>
                  </w:r>
                  <w:r>
                    <w:rPr>
                      <w:rFonts w:hint="eastAsia" w:ascii="宋体" w:hAnsi="宋体" w:cs="宋体"/>
                      <w:b w:val="0"/>
                      <w:bCs w:val="0"/>
                      <w:spacing w:val="-1"/>
                      <w:sz w:val="21"/>
                      <w:szCs w:val="21"/>
                      <w:lang w:val="en-US" w:eastAsia="zh-CN"/>
                    </w:rPr>
                    <w:t>制芯</w:t>
                  </w:r>
                </w:p>
              </w:tc>
              <w:tc>
                <w:tcPr>
                  <w:tcW w:w="1084" w:type="dxa"/>
                  <w:tcBorders>
                    <w:tl2br w:val="nil"/>
                    <w:tr2bl w:val="nil"/>
                  </w:tcBorders>
                  <w:noWrap/>
                  <w:tcMar>
                    <w:top w:w="15" w:type="dxa"/>
                    <w:left w:w="15" w:type="dxa"/>
                    <w:right w:w="15" w:type="dxa"/>
                  </w:tcMar>
                  <w:vAlign w:val="center"/>
                </w:tcPr>
                <w:p>
                  <w:pPr>
                    <w:pStyle w:val="61"/>
                    <w:bidi w:val="0"/>
                    <w:rPr>
                      <w:rFonts w:hint="default" w:asci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颗粒物</w:t>
                  </w:r>
                </w:p>
              </w:tc>
              <w:tc>
                <w:tcPr>
                  <w:tcW w:w="977" w:type="dxa"/>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b w:val="0"/>
                      <w:bCs w:val="0"/>
                      <w:color w:val="auto"/>
                      <w:kern w:val="0"/>
                      <w:sz w:val="21"/>
                      <w:szCs w:val="21"/>
                      <w:lang w:val="en-US" w:eastAsia="zh-CN" w:bidi="ar-SA"/>
                    </w:rPr>
                  </w:pPr>
                  <w:r>
                    <w:rPr>
                      <w:rFonts w:hint="eastAsia" w:ascii="Times New Roman" w:cs="Times New Roman"/>
                      <w:b w:val="0"/>
                      <w:bCs w:val="0"/>
                      <w:color w:val="auto"/>
                      <w:kern w:val="0"/>
                      <w:sz w:val="21"/>
                      <w:szCs w:val="21"/>
                      <w:lang w:val="en-US" w:eastAsia="zh-CN" w:bidi="ar-SA"/>
                    </w:rPr>
                    <w:t>0.373</w:t>
                  </w:r>
                </w:p>
              </w:tc>
              <w:tc>
                <w:tcPr>
                  <w:tcW w:w="977"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cs="Times New Roman"/>
                      <w:b w:val="0"/>
                      <w:bCs w:val="0"/>
                      <w:color w:val="auto"/>
                      <w:kern w:val="0"/>
                      <w:sz w:val="21"/>
                      <w:szCs w:val="21"/>
                      <w:lang w:val="en-US" w:eastAsia="zh-CN" w:bidi="ar-SA"/>
                    </w:rPr>
                    <w:t>617</w:t>
                  </w:r>
                </w:p>
              </w:tc>
              <w:tc>
                <w:tcPr>
                  <w:tcW w:w="862" w:type="dxa"/>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有组织</w:t>
                  </w:r>
                </w:p>
              </w:tc>
              <w:tc>
                <w:tcPr>
                  <w:tcW w:w="1425" w:type="dxa"/>
                  <w:gridSpan w:val="2"/>
                  <w:vMerge w:val="restart"/>
                  <w:tcBorders>
                    <w:tl2br w:val="nil"/>
                    <w:tr2bl w:val="nil"/>
                  </w:tcBorders>
                  <w:noWrap/>
                  <w:tcMar>
                    <w:top w:w="15" w:type="dxa"/>
                    <w:left w:w="15" w:type="dxa"/>
                    <w:right w:w="15" w:type="dxa"/>
                  </w:tcMar>
                  <w:vAlign w:val="center"/>
                </w:tcPr>
                <w:p>
                  <w:pPr>
                    <w:pStyle w:val="61"/>
                    <w:bidi w:val="0"/>
                    <w:jc w:val="center"/>
                    <w:rPr>
                      <w:rFonts w:hint="default" w:ascii="Times New Roman" w:hAnsi="Times New Roman" w:eastAsia="宋体" w:cs="Times New Roman"/>
                      <w:bCs/>
                      <w:color w:val="auto"/>
                      <w:kern w:val="0"/>
                      <w:sz w:val="21"/>
                      <w:szCs w:val="21"/>
                      <w:lang w:val="en-US" w:eastAsia="zh-CN" w:bidi="ar-SA"/>
                    </w:rPr>
                  </w:pPr>
                  <w:r>
                    <w:rPr>
                      <w:rFonts w:hint="eastAsia" w:ascii="宋体" w:hAnsi="宋体" w:eastAsia="宋体" w:cs="宋体"/>
                      <w:color w:val="auto"/>
                      <w:kern w:val="0"/>
                      <w:sz w:val="21"/>
                      <w:szCs w:val="21"/>
                      <w:lang w:val="en-US" w:eastAsia="zh-CN" w:bidi="ar"/>
                    </w:rPr>
                    <w:t>集气罩</w:t>
                  </w:r>
                  <w:r>
                    <w:rPr>
                      <w:rFonts w:hint="default" w:ascii="Times New Roman" w:hAnsi="Times New Roman" w:eastAsia="宋体" w:cs="Times New Roman"/>
                      <w:color w:val="auto"/>
                      <w:kern w:val="0"/>
                      <w:sz w:val="21"/>
                      <w:szCs w:val="21"/>
                      <w:lang w:val="en-US" w:eastAsia="zh-CN" w:bidi="ar"/>
                    </w:rPr>
                    <w:t>+</w:t>
                  </w:r>
                  <w:r>
                    <w:rPr>
                      <w:rFonts w:hint="eastAsia" w:hAnsi="宋体" w:cs="宋体"/>
                      <w:color w:val="auto"/>
                      <w:kern w:val="0"/>
                      <w:sz w:val="21"/>
                      <w:szCs w:val="21"/>
                      <w:lang w:val="en-US" w:eastAsia="zh-CN" w:bidi="ar"/>
                    </w:rPr>
                    <w:t>滤芯除尘器</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磷</w:t>
                  </w:r>
                  <w:r>
                    <w:rPr>
                      <w:rFonts w:hint="eastAsia" w:ascii="Times New Roman" w:hAnsi="Times New Roman" w:eastAsia="宋体" w:cs="Times New Roman"/>
                      <w:color w:val="auto"/>
                      <w:kern w:val="0"/>
                      <w:sz w:val="21"/>
                      <w:szCs w:val="21"/>
                      <w:lang w:val="en-US" w:eastAsia="zh-CN" w:bidi="ar"/>
                    </w:rPr>
                    <w:t>酸中和</w:t>
                  </w:r>
                  <w:r>
                    <w:rPr>
                      <w:rFonts w:hint="eastAsia" w:ascii="宋体" w:hAnsi="宋体" w:eastAsia="宋体" w:cs="宋体"/>
                      <w:color w:val="auto"/>
                      <w:kern w:val="0"/>
                      <w:sz w:val="21"/>
                      <w:szCs w:val="21"/>
                      <w:lang w:val="en-US" w:eastAsia="zh-CN" w:bidi="ar"/>
                    </w:rPr>
                    <w:t>净化塔处理后</w:t>
                  </w:r>
                </w:p>
              </w:tc>
              <w:tc>
                <w:tcPr>
                  <w:tcW w:w="800" w:type="dxa"/>
                  <w:vMerge w:val="restart"/>
                  <w:tcBorders>
                    <w:tl2br w:val="nil"/>
                    <w:tr2bl w:val="nil"/>
                  </w:tcBorders>
                  <w:noWrap/>
                  <w:tcMar>
                    <w:top w:w="15" w:type="dxa"/>
                    <w:left w:w="15" w:type="dxa"/>
                    <w:right w:w="15" w:type="dxa"/>
                  </w:tcMar>
                  <w:vAlign w:val="center"/>
                </w:tcPr>
                <w:p>
                  <w:pPr>
                    <w:pStyle w:val="68"/>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5000</w:t>
                  </w:r>
                </w:p>
              </w:tc>
              <w:tc>
                <w:tcPr>
                  <w:tcW w:w="900" w:type="dxa"/>
                  <w:tcBorders>
                    <w:tl2br w:val="nil"/>
                    <w:tr2bl w:val="nil"/>
                  </w:tcBorders>
                  <w:noWrap/>
                  <w:tcMar>
                    <w:top w:w="15" w:type="dxa"/>
                    <w:left w:w="15" w:type="dxa"/>
                    <w:right w:w="15" w:type="dxa"/>
                  </w:tcMar>
                  <w:vAlign w:val="center"/>
                </w:tcPr>
                <w:p>
                  <w:pPr>
                    <w:bidi w:val="0"/>
                    <w:jc w:val="center"/>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90</w:t>
                  </w:r>
                </w:p>
              </w:tc>
              <w:tc>
                <w:tcPr>
                  <w:tcW w:w="834" w:type="dxa"/>
                  <w:tcBorders>
                    <w:tl2br w:val="nil"/>
                    <w:tr2bl w:val="nil"/>
                  </w:tcBorders>
                  <w:noWrap/>
                  <w:tcMar>
                    <w:top w:w="15" w:type="dxa"/>
                    <w:left w:w="15" w:type="dxa"/>
                    <w:right w:w="15" w:type="dxa"/>
                  </w:tcMar>
                  <w:vAlign w:val="center"/>
                </w:tcPr>
                <w:p>
                  <w:pPr>
                    <w:bidi w:val="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color w:val="auto"/>
                      <w:sz w:val="21"/>
                      <w:szCs w:val="21"/>
                      <w:lang w:val="en-US" w:eastAsia="zh-CN"/>
                    </w:rPr>
                    <w:t>90</w:t>
                  </w:r>
                </w:p>
              </w:tc>
              <w:tc>
                <w:tcPr>
                  <w:tcW w:w="939" w:type="dxa"/>
                  <w:tcBorders>
                    <w:tl2br w:val="nil"/>
                    <w:tr2bl w:val="nil"/>
                  </w:tcBorders>
                  <w:noWrap/>
                  <w:tcMar>
                    <w:top w:w="15" w:type="dxa"/>
                    <w:left w:w="15" w:type="dxa"/>
                    <w:right w:w="15" w:type="dxa"/>
                  </w:tcMar>
                  <w:vAlign w:val="center"/>
                </w:tcPr>
                <w:p>
                  <w:pPr>
                    <w:bidi w:val="0"/>
                    <w:jc w:val="center"/>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是</w:t>
                  </w:r>
                </w:p>
              </w:tc>
              <w:tc>
                <w:tcPr>
                  <w:tcW w:w="1026"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cs="Times New Roman"/>
                      <w:b w:val="0"/>
                      <w:bCs w:val="0"/>
                      <w:color w:val="auto"/>
                      <w:kern w:val="0"/>
                      <w:sz w:val="21"/>
                      <w:szCs w:val="21"/>
                      <w:lang w:val="en-US" w:eastAsia="zh-CN" w:bidi="ar-SA"/>
                    </w:rPr>
                    <w:t>0.037</w:t>
                  </w:r>
                </w:p>
              </w:tc>
              <w:tc>
                <w:tcPr>
                  <w:tcW w:w="1026"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0.03</w:t>
                  </w:r>
                </w:p>
              </w:tc>
              <w:tc>
                <w:tcPr>
                  <w:tcW w:w="10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6" w:type="dxa"/>
                  <w:vMerge w:val="continue"/>
                  <w:tcBorders>
                    <w:tl2br w:val="nil"/>
                    <w:tr2bl w:val="nil"/>
                  </w:tcBorders>
                  <w:noWrap/>
                  <w:tcMar>
                    <w:top w:w="15" w:type="dxa"/>
                    <w:left w:w="15" w:type="dxa"/>
                    <w:right w:w="15" w:type="dxa"/>
                  </w:tcMar>
                  <w:vAlign w:val="center"/>
                </w:tcPr>
                <w:p>
                  <w:pPr>
                    <w:pStyle w:val="39"/>
                    <w:bidi w:val="0"/>
                    <w:rPr>
                      <w:rFonts w:hint="eastAsia" w:cs="Times New Roman"/>
                      <w:color w:val="auto"/>
                      <w:sz w:val="21"/>
                      <w:szCs w:val="21"/>
                      <w:lang w:val="en-US" w:eastAsia="zh-CN"/>
                    </w:rPr>
                  </w:pPr>
                </w:p>
              </w:tc>
              <w:tc>
                <w:tcPr>
                  <w:tcW w:w="1240" w:type="dxa"/>
                  <w:vMerge w:val="continue"/>
                  <w:tcBorders>
                    <w:tl2br w:val="nil"/>
                    <w:tr2bl w:val="nil"/>
                  </w:tcBorders>
                  <w:noWrap/>
                  <w:tcMar>
                    <w:top w:w="15" w:type="dxa"/>
                    <w:left w:w="15" w:type="dxa"/>
                    <w:right w:w="15" w:type="dxa"/>
                  </w:tcMar>
                  <w:vAlign w:val="center"/>
                </w:tcPr>
                <w:p>
                  <w:pPr>
                    <w:pStyle w:val="39"/>
                    <w:keepNext w:val="0"/>
                    <w:keepLines w:val="0"/>
                    <w:pageBreakBefore w:val="0"/>
                    <w:widowControl/>
                    <w:kinsoku/>
                    <w:wordWrap/>
                    <w:overflowPunct/>
                    <w:topLinePunct w:val="0"/>
                    <w:autoSpaceDE/>
                    <w:autoSpaceDN/>
                    <w:bidi w:val="0"/>
                    <w:adjustRightInd/>
                    <w:snapToGrid/>
                    <w:textAlignment w:val="auto"/>
                    <w:rPr>
                      <w:rFonts w:ascii="宋体" w:hAnsi="宋体" w:eastAsia="宋体" w:cs="宋体"/>
                      <w:b w:val="0"/>
                      <w:bCs w:val="0"/>
                      <w:spacing w:val="-1"/>
                      <w:sz w:val="21"/>
                      <w:szCs w:val="21"/>
                    </w:rPr>
                  </w:pPr>
                </w:p>
              </w:tc>
              <w:tc>
                <w:tcPr>
                  <w:tcW w:w="1084" w:type="dxa"/>
                  <w:tcBorders>
                    <w:tl2br w:val="nil"/>
                    <w:tr2bl w:val="nil"/>
                  </w:tcBorders>
                  <w:noWrap/>
                  <w:tcMar>
                    <w:top w:w="15" w:type="dxa"/>
                    <w:left w:w="15" w:type="dxa"/>
                    <w:right w:w="15" w:type="dxa"/>
                  </w:tcMar>
                  <w:vAlign w:val="center"/>
                </w:tcPr>
                <w:p>
                  <w:pPr>
                    <w:pStyle w:val="61"/>
                    <w:bidi w:val="0"/>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三乙胺</w:t>
                  </w:r>
                </w:p>
              </w:tc>
              <w:tc>
                <w:tcPr>
                  <w:tcW w:w="977" w:type="dxa"/>
                  <w:tcBorders>
                    <w:tl2br w:val="nil"/>
                    <w:tr2bl w:val="nil"/>
                  </w:tcBorders>
                  <w:noWrap/>
                  <w:tcMar>
                    <w:top w:w="15" w:type="dxa"/>
                    <w:left w:w="15" w:type="dxa"/>
                    <w:right w:w="15" w:type="dxa"/>
                  </w:tcMar>
                  <w:vAlign w:val="center"/>
                </w:tcPr>
                <w:p>
                  <w:pPr>
                    <w:pStyle w:val="61"/>
                    <w:bidi w:val="0"/>
                    <w:rPr>
                      <w:rFonts w:hint="default" w:ascii="Times New Roman" w:cs="Times New Roman"/>
                      <w:b w:val="0"/>
                      <w:bCs w:val="0"/>
                      <w:color w:val="auto"/>
                      <w:kern w:val="0"/>
                      <w:sz w:val="21"/>
                      <w:szCs w:val="21"/>
                      <w:lang w:val="en-US" w:eastAsia="zh-CN" w:bidi="ar-SA"/>
                    </w:rPr>
                  </w:pPr>
                  <w:r>
                    <w:rPr>
                      <w:rFonts w:hint="eastAsia" w:ascii="Times New Roman" w:cs="Times New Roman"/>
                      <w:b w:val="0"/>
                      <w:bCs w:val="0"/>
                      <w:color w:val="auto"/>
                      <w:kern w:val="0"/>
                      <w:sz w:val="21"/>
                      <w:szCs w:val="21"/>
                      <w:lang w:val="en-US" w:eastAsia="zh-CN" w:bidi="ar-SA"/>
                    </w:rPr>
                    <w:t>1.08</w:t>
                  </w:r>
                </w:p>
              </w:tc>
              <w:tc>
                <w:tcPr>
                  <w:tcW w:w="977"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cs="Times New Roman"/>
                      <w:b w:val="0"/>
                      <w:bCs w:val="0"/>
                      <w:color w:val="auto"/>
                      <w:kern w:val="0"/>
                      <w:sz w:val="21"/>
                      <w:szCs w:val="21"/>
                      <w:lang w:val="en-US" w:eastAsia="zh-CN" w:bidi="ar-SA"/>
                    </w:rPr>
                    <w:t>200</w:t>
                  </w:r>
                </w:p>
              </w:tc>
              <w:tc>
                <w:tcPr>
                  <w:tcW w:w="862" w:type="dxa"/>
                  <w:tcBorders>
                    <w:tl2br w:val="nil"/>
                    <w:tr2bl w:val="nil"/>
                  </w:tcBorders>
                  <w:noWrap/>
                  <w:tcMar>
                    <w:top w:w="15" w:type="dxa"/>
                    <w:left w:w="15" w:type="dxa"/>
                    <w:right w:w="15" w:type="dxa"/>
                  </w:tcMar>
                  <w:vAlign w:val="center"/>
                </w:tcPr>
                <w:p>
                  <w:pPr>
                    <w:pStyle w:val="61"/>
                    <w:bidi w:val="0"/>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有组织</w:t>
                  </w:r>
                </w:p>
              </w:tc>
              <w:tc>
                <w:tcPr>
                  <w:tcW w:w="1425" w:type="dxa"/>
                  <w:gridSpan w:val="2"/>
                  <w:vMerge w:val="continue"/>
                  <w:tcBorders>
                    <w:tl2br w:val="nil"/>
                    <w:tr2bl w:val="nil"/>
                  </w:tcBorders>
                  <w:noWrap/>
                  <w:tcMar>
                    <w:top w:w="15" w:type="dxa"/>
                    <w:left w:w="15" w:type="dxa"/>
                    <w:right w:w="15" w:type="dxa"/>
                  </w:tcMar>
                  <w:vAlign w:val="center"/>
                </w:tcPr>
                <w:p>
                  <w:pPr>
                    <w:pStyle w:val="61"/>
                    <w:bidi w:val="0"/>
                    <w:jc w:val="center"/>
                    <w:rPr>
                      <w:rFonts w:hint="default" w:ascii="Times New Roman" w:hAnsi="Times New Roman" w:eastAsia="宋体" w:cs="Times New Roman"/>
                      <w:bCs/>
                      <w:color w:val="auto"/>
                      <w:kern w:val="0"/>
                      <w:sz w:val="21"/>
                      <w:szCs w:val="21"/>
                      <w:lang w:val="en-US" w:eastAsia="zh-CN" w:bidi="ar-SA"/>
                    </w:rPr>
                  </w:pPr>
                </w:p>
              </w:tc>
              <w:tc>
                <w:tcPr>
                  <w:tcW w:w="800" w:type="dxa"/>
                  <w:vMerge w:val="continue"/>
                  <w:tcBorders>
                    <w:tl2br w:val="nil"/>
                    <w:tr2bl w:val="nil"/>
                  </w:tcBorders>
                  <w:noWrap/>
                  <w:tcMar>
                    <w:top w:w="15" w:type="dxa"/>
                    <w:left w:w="15" w:type="dxa"/>
                    <w:right w:w="15" w:type="dxa"/>
                  </w:tcMar>
                  <w:vAlign w:val="center"/>
                </w:tcPr>
                <w:p>
                  <w:pPr>
                    <w:pStyle w:val="68"/>
                    <w:bidi w:val="0"/>
                    <w:jc w:val="center"/>
                    <w:rPr>
                      <w:rFonts w:hint="default" w:ascii="Times New Roman" w:hAnsi="Times New Roman" w:eastAsia="宋体" w:cs="Times New Roman"/>
                      <w:color w:val="auto"/>
                      <w:kern w:val="0"/>
                      <w:sz w:val="21"/>
                      <w:szCs w:val="21"/>
                      <w:lang w:val="en-US" w:eastAsia="zh-CN" w:bidi="ar-SA"/>
                    </w:rPr>
                  </w:pPr>
                </w:p>
              </w:tc>
              <w:tc>
                <w:tcPr>
                  <w:tcW w:w="900" w:type="dxa"/>
                  <w:tcBorders>
                    <w:tl2br w:val="nil"/>
                    <w:tr2bl w:val="nil"/>
                  </w:tcBorders>
                  <w:noWrap/>
                  <w:tcMar>
                    <w:top w:w="15" w:type="dxa"/>
                    <w:left w:w="15" w:type="dxa"/>
                    <w:right w:w="15" w:type="dxa"/>
                  </w:tcMar>
                  <w:vAlign w:val="center"/>
                </w:tcPr>
                <w:p>
                  <w:pPr>
                    <w:bidi w:val="0"/>
                    <w:jc w:val="center"/>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90</w:t>
                  </w:r>
                </w:p>
              </w:tc>
              <w:tc>
                <w:tcPr>
                  <w:tcW w:w="834" w:type="dxa"/>
                  <w:tcBorders>
                    <w:tl2br w:val="nil"/>
                    <w:tr2bl w:val="nil"/>
                  </w:tcBorders>
                  <w:noWrap/>
                  <w:tcMar>
                    <w:top w:w="15" w:type="dxa"/>
                    <w:left w:w="15" w:type="dxa"/>
                    <w:right w:w="15" w:type="dxa"/>
                  </w:tcMar>
                  <w:vAlign w:val="center"/>
                </w:tcPr>
                <w:p>
                  <w:pPr>
                    <w:bidi w:val="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color w:val="auto"/>
                      <w:sz w:val="21"/>
                      <w:szCs w:val="21"/>
                      <w:lang w:val="en-US" w:eastAsia="zh-CN"/>
                    </w:rPr>
                    <w:t>90</w:t>
                  </w:r>
                </w:p>
              </w:tc>
              <w:tc>
                <w:tcPr>
                  <w:tcW w:w="939" w:type="dxa"/>
                  <w:tcBorders>
                    <w:tl2br w:val="nil"/>
                    <w:tr2bl w:val="nil"/>
                  </w:tcBorders>
                  <w:noWrap/>
                  <w:tcMar>
                    <w:top w:w="15" w:type="dxa"/>
                    <w:left w:w="15" w:type="dxa"/>
                    <w:right w:w="15" w:type="dxa"/>
                  </w:tcMar>
                  <w:vAlign w:val="center"/>
                </w:tcPr>
                <w:p>
                  <w:pPr>
                    <w:bidi w:val="0"/>
                    <w:jc w:val="center"/>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是</w:t>
                  </w:r>
                </w:p>
              </w:tc>
              <w:tc>
                <w:tcPr>
                  <w:tcW w:w="1026"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0.108</w:t>
                  </w:r>
                </w:p>
              </w:tc>
              <w:tc>
                <w:tcPr>
                  <w:tcW w:w="1026"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cs="Times New Roman"/>
                      <w:kern w:val="2"/>
                      <w:sz w:val="21"/>
                      <w:szCs w:val="24"/>
                      <w:lang w:val="en-US" w:eastAsia="zh-CN" w:bidi="ar-SA"/>
                    </w:rPr>
                  </w:pPr>
                  <w:r>
                    <w:rPr>
                      <w:rFonts w:hint="eastAsia" w:cs="Times New Roman"/>
                      <w:kern w:val="2"/>
                      <w:sz w:val="21"/>
                      <w:szCs w:val="24"/>
                      <w:lang w:val="en-US" w:eastAsia="zh-CN" w:bidi="ar-SA"/>
                    </w:rPr>
                    <w:t>0.09</w:t>
                  </w:r>
                </w:p>
              </w:tc>
              <w:tc>
                <w:tcPr>
                  <w:tcW w:w="10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cs="Times New Roman"/>
                      <w:kern w:val="2"/>
                      <w:sz w:val="21"/>
                      <w:szCs w:val="24"/>
                      <w:lang w:val="en-US" w:eastAsia="zh-CN" w:bidi="ar-SA"/>
                    </w:rPr>
                  </w:pPr>
                  <w:r>
                    <w:rPr>
                      <w:rFonts w:hint="eastAsia" w:cs="Times New Roman"/>
                      <w:kern w:val="2"/>
                      <w:sz w:val="21"/>
                      <w:szCs w:val="24"/>
                      <w:lang w:val="en-US" w:eastAsia="zh-CN" w:bidi="ar-SA"/>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6" w:type="dxa"/>
                  <w:tcBorders>
                    <w:tl2br w:val="nil"/>
                    <w:tr2bl w:val="nil"/>
                  </w:tcBorders>
                  <w:noWrap/>
                  <w:tcMar>
                    <w:top w:w="15" w:type="dxa"/>
                    <w:left w:w="15" w:type="dxa"/>
                    <w:right w:w="15" w:type="dxa"/>
                  </w:tcMar>
                  <w:vAlign w:val="center"/>
                </w:tcPr>
                <w:p>
                  <w:pPr>
                    <w:pStyle w:val="39"/>
                    <w:bidi w:val="0"/>
                    <w:rPr>
                      <w:rFonts w:hint="default" w:cs="Times New Roman"/>
                      <w:color w:val="auto"/>
                      <w:sz w:val="21"/>
                      <w:szCs w:val="21"/>
                      <w:lang w:val="en-US" w:eastAsia="zh-CN"/>
                    </w:rPr>
                  </w:pPr>
                  <w:r>
                    <w:rPr>
                      <w:rFonts w:hint="eastAsia" w:cs="Times New Roman"/>
                      <w:color w:val="auto"/>
                      <w:sz w:val="21"/>
                      <w:szCs w:val="21"/>
                      <w:lang w:val="en-US" w:eastAsia="zh-CN"/>
                    </w:rPr>
                    <w:t>DA004</w:t>
                  </w:r>
                </w:p>
              </w:tc>
              <w:tc>
                <w:tcPr>
                  <w:tcW w:w="1240" w:type="dxa"/>
                  <w:tcBorders>
                    <w:tl2br w:val="nil"/>
                    <w:tr2bl w:val="nil"/>
                  </w:tcBorders>
                  <w:noWrap/>
                  <w:tcMar>
                    <w:top w:w="15" w:type="dxa"/>
                    <w:left w:w="15" w:type="dxa"/>
                    <w:right w:w="15" w:type="dxa"/>
                  </w:tcMar>
                  <w:vAlign w:val="center"/>
                </w:tcPr>
                <w:p>
                  <w:pPr>
                    <w:pStyle w:val="39"/>
                    <w:keepNext w:val="0"/>
                    <w:keepLines w:val="0"/>
                    <w:pageBreakBefore w:val="0"/>
                    <w:widowControl/>
                    <w:kinsoku/>
                    <w:wordWrap/>
                    <w:overflowPunct/>
                    <w:topLinePunct w:val="0"/>
                    <w:autoSpaceDE/>
                    <w:autoSpaceDN/>
                    <w:bidi w:val="0"/>
                    <w:adjustRightInd/>
                    <w:snapToGrid/>
                    <w:textAlignment w:val="auto"/>
                    <w:rPr>
                      <w:rFonts w:hint="default" w:ascii="宋体" w:hAnsi="宋体" w:eastAsia="宋体" w:cs="宋体"/>
                      <w:b w:val="0"/>
                      <w:bCs w:val="0"/>
                      <w:spacing w:val="-1"/>
                      <w:sz w:val="21"/>
                      <w:szCs w:val="21"/>
                      <w:lang w:val="en-US"/>
                    </w:rPr>
                  </w:pPr>
                  <w:r>
                    <w:rPr>
                      <w:rFonts w:hint="eastAsia" w:ascii="Times New Roman" w:hAnsi="Times New Roman" w:cs="Times New Roman"/>
                      <w:b w:val="0"/>
                      <w:bCs w:val="0"/>
                      <w:spacing w:val="-5"/>
                      <w:sz w:val="21"/>
                      <w:szCs w:val="21"/>
                      <w:lang w:val="en-US" w:eastAsia="zh-CN"/>
                    </w:rPr>
                    <w:t>抛丸清</w:t>
                  </w:r>
                  <w:r>
                    <w:rPr>
                      <w:rFonts w:hint="eastAsia" w:cs="Times New Roman"/>
                      <w:b w:val="0"/>
                      <w:bCs w:val="0"/>
                      <w:spacing w:val="-5"/>
                      <w:sz w:val="21"/>
                      <w:szCs w:val="21"/>
                      <w:lang w:val="en-US" w:eastAsia="zh-CN"/>
                    </w:rPr>
                    <w:t>理</w:t>
                  </w:r>
                </w:p>
              </w:tc>
              <w:tc>
                <w:tcPr>
                  <w:tcW w:w="1084" w:type="dxa"/>
                  <w:tcBorders>
                    <w:tl2br w:val="nil"/>
                    <w:tr2bl w:val="nil"/>
                  </w:tcBorders>
                  <w:noWrap/>
                  <w:tcMar>
                    <w:top w:w="15" w:type="dxa"/>
                    <w:left w:w="15" w:type="dxa"/>
                    <w:right w:w="15" w:type="dxa"/>
                  </w:tcMar>
                  <w:vAlign w:val="center"/>
                </w:tcPr>
                <w:p>
                  <w:pPr>
                    <w:pStyle w:val="61"/>
                    <w:bidi w:val="0"/>
                    <w:rPr>
                      <w:rFonts w:hint="eastAsia" w:asci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颗粒物</w:t>
                  </w:r>
                </w:p>
              </w:tc>
              <w:tc>
                <w:tcPr>
                  <w:tcW w:w="977" w:type="dxa"/>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b w:val="0"/>
                      <w:bCs w:val="0"/>
                      <w:color w:val="auto"/>
                      <w:kern w:val="0"/>
                      <w:sz w:val="21"/>
                      <w:szCs w:val="21"/>
                      <w:lang w:val="en-US" w:eastAsia="zh-CN" w:bidi="ar-SA"/>
                    </w:rPr>
                  </w:pPr>
                  <w:r>
                    <w:rPr>
                      <w:rFonts w:hint="eastAsia" w:ascii="Times New Roman" w:cs="Times New Roman"/>
                      <w:b w:val="0"/>
                      <w:bCs w:val="0"/>
                      <w:color w:val="auto"/>
                      <w:kern w:val="0"/>
                      <w:sz w:val="21"/>
                      <w:szCs w:val="21"/>
                      <w:lang w:val="en-US" w:eastAsia="zh-CN" w:bidi="ar-SA"/>
                    </w:rPr>
                    <w:t>4.16</w:t>
                  </w:r>
                </w:p>
              </w:tc>
              <w:tc>
                <w:tcPr>
                  <w:tcW w:w="977"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cs="Times New Roman"/>
                      <w:b w:val="0"/>
                      <w:bCs w:val="0"/>
                      <w:color w:val="auto"/>
                      <w:kern w:val="0"/>
                      <w:sz w:val="21"/>
                      <w:szCs w:val="21"/>
                      <w:lang w:val="en-US" w:eastAsia="zh-CN" w:bidi="ar-SA"/>
                    </w:rPr>
                    <w:t>256.8</w:t>
                  </w:r>
                </w:p>
              </w:tc>
              <w:tc>
                <w:tcPr>
                  <w:tcW w:w="862"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color w:val="auto"/>
                      <w:sz w:val="21"/>
                      <w:szCs w:val="21"/>
                      <w:lang w:val="en-US" w:eastAsia="zh-CN"/>
                    </w:rPr>
                    <w:t>有组织</w:t>
                  </w:r>
                </w:p>
              </w:tc>
              <w:tc>
                <w:tcPr>
                  <w:tcW w:w="1425" w:type="dxa"/>
                  <w:gridSpan w:val="2"/>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color w:val="auto"/>
                      <w:kern w:val="0"/>
                      <w:sz w:val="21"/>
                      <w:szCs w:val="21"/>
                      <w:lang w:val="en-US" w:eastAsia="zh-CN" w:bidi="ar-SA"/>
                    </w:rPr>
                    <w:t>布袋除尘器</w:t>
                  </w:r>
                </w:p>
              </w:tc>
              <w:tc>
                <w:tcPr>
                  <w:tcW w:w="800"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bCs/>
                      <w:color w:val="auto"/>
                      <w:kern w:val="0"/>
                      <w:sz w:val="21"/>
                      <w:szCs w:val="21"/>
                      <w:lang w:val="en-US" w:eastAsia="zh-CN" w:bidi="ar-SA"/>
                    </w:rPr>
                    <w:t>6000</w:t>
                  </w:r>
                </w:p>
              </w:tc>
              <w:tc>
                <w:tcPr>
                  <w:tcW w:w="900"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color w:val="auto"/>
                      <w:sz w:val="21"/>
                      <w:szCs w:val="21"/>
                      <w:lang w:val="en-US" w:eastAsia="zh-CN"/>
                    </w:rPr>
                    <w:t>90</w:t>
                  </w:r>
                </w:p>
              </w:tc>
              <w:tc>
                <w:tcPr>
                  <w:tcW w:w="834"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color w:val="auto"/>
                      <w:sz w:val="21"/>
                      <w:szCs w:val="21"/>
                      <w:lang w:val="en-US" w:eastAsia="zh-CN"/>
                    </w:rPr>
                    <w:t>99</w:t>
                  </w:r>
                </w:p>
              </w:tc>
              <w:tc>
                <w:tcPr>
                  <w:tcW w:w="939"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color w:val="auto"/>
                      <w:sz w:val="21"/>
                      <w:szCs w:val="21"/>
                      <w:lang w:val="en-US" w:eastAsia="zh-CN"/>
                    </w:rPr>
                    <w:t>是</w:t>
                  </w:r>
                </w:p>
              </w:tc>
              <w:tc>
                <w:tcPr>
                  <w:tcW w:w="1026"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0.04</w:t>
                  </w:r>
                </w:p>
              </w:tc>
              <w:tc>
                <w:tcPr>
                  <w:tcW w:w="1026"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0.015</w:t>
                  </w:r>
                </w:p>
              </w:tc>
              <w:tc>
                <w:tcPr>
                  <w:tcW w:w="10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6" w:type="dxa"/>
                  <w:vMerge w:val="restart"/>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无组织</w:t>
                  </w:r>
                </w:p>
              </w:tc>
              <w:tc>
                <w:tcPr>
                  <w:tcW w:w="1240" w:type="dxa"/>
                  <w:vMerge w:val="restar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bidi="ar-SA"/>
                    </w:rPr>
                  </w:pPr>
                </w:p>
              </w:tc>
              <w:tc>
                <w:tcPr>
                  <w:tcW w:w="1084"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eastAsia" w:cs="Times New Roman"/>
                      <w:b w:val="0"/>
                      <w:bCs w:val="0"/>
                      <w:color w:val="auto"/>
                      <w:sz w:val="21"/>
                      <w:szCs w:val="21"/>
                      <w:lang w:val="en-US" w:eastAsia="zh-CN"/>
                    </w:rPr>
                    <w:t>颗粒物</w:t>
                  </w:r>
                </w:p>
              </w:tc>
              <w:tc>
                <w:tcPr>
                  <w:tcW w:w="977"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bCs/>
                      <w:color w:val="auto"/>
                      <w:kern w:val="0"/>
                      <w:sz w:val="21"/>
                      <w:szCs w:val="21"/>
                      <w:lang w:val="en-US" w:eastAsia="zh-CN" w:bidi="ar-SA"/>
                    </w:rPr>
                    <w:t>0.332</w:t>
                  </w:r>
                </w:p>
              </w:tc>
              <w:tc>
                <w:tcPr>
                  <w:tcW w:w="977" w:type="dxa"/>
                  <w:tcBorders>
                    <w:tl2br w:val="nil"/>
                    <w:tr2bl w:val="nil"/>
                  </w:tcBorders>
                  <w:noWrap/>
                  <w:tcMar>
                    <w:top w:w="15" w:type="dxa"/>
                    <w:left w:w="15" w:type="dxa"/>
                    <w:right w:w="15" w:type="dxa"/>
                  </w:tcMar>
                  <w:vAlign w:val="center"/>
                </w:tcPr>
                <w:p>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862" w:type="dxa"/>
                  <w:vMerge w:val="restart"/>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bCs/>
                      <w:color w:val="auto"/>
                      <w:kern w:val="0"/>
                      <w:sz w:val="21"/>
                      <w:szCs w:val="21"/>
                      <w:lang w:val="en-US" w:eastAsia="zh-CN" w:bidi="ar-SA"/>
                    </w:rPr>
                    <w:t>无组织</w:t>
                  </w:r>
                </w:p>
              </w:tc>
              <w:tc>
                <w:tcPr>
                  <w:tcW w:w="1425" w:type="dxa"/>
                  <w:gridSpan w:val="2"/>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800"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900"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834"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939"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1026"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bCs/>
                      <w:color w:val="auto"/>
                      <w:kern w:val="0"/>
                      <w:sz w:val="21"/>
                      <w:szCs w:val="21"/>
                      <w:lang w:val="en-US" w:eastAsia="zh-CN" w:bidi="ar-SA"/>
                    </w:rPr>
                    <w:t>0.332</w:t>
                  </w:r>
                </w:p>
              </w:tc>
              <w:tc>
                <w:tcPr>
                  <w:tcW w:w="1026"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1027"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6" w:type="dxa"/>
                  <w:vMerge w:val="continue"/>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lang w:eastAsia="zh-CN"/>
                    </w:rPr>
                  </w:pPr>
                </w:p>
              </w:tc>
              <w:tc>
                <w:tcPr>
                  <w:tcW w:w="1240" w:type="dxa"/>
                  <w:vMerge w:val="continue"/>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bidi="ar-SA"/>
                    </w:rPr>
                  </w:pPr>
                </w:p>
              </w:tc>
              <w:tc>
                <w:tcPr>
                  <w:tcW w:w="1084" w:type="dxa"/>
                  <w:tcBorders>
                    <w:tl2br w:val="nil"/>
                    <w:tr2bl w:val="nil"/>
                  </w:tcBorders>
                  <w:noWrap/>
                  <w:tcMar>
                    <w:top w:w="15" w:type="dxa"/>
                    <w:left w:w="15" w:type="dxa"/>
                    <w:right w:w="15" w:type="dxa"/>
                  </w:tcMar>
                  <w:vAlign w:val="center"/>
                </w:tcPr>
                <w:p>
                  <w:pPr>
                    <w:pStyle w:val="91"/>
                    <w:bidi w:val="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三乙胺</w:t>
                  </w:r>
                </w:p>
              </w:tc>
              <w:tc>
                <w:tcPr>
                  <w:tcW w:w="977"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eastAsia" w:ascii="Times New Roman" w:cs="Times New Roman"/>
                      <w:bCs/>
                      <w:color w:val="auto"/>
                      <w:kern w:val="0"/>
                      <w:sz w:val="21"/>
                      <w:szCs w:val="21"/>
                      <w:lang w:val="en-US" w:eastAsia="zh-CN" w:bidi="ar-SA"/>
                    </w:rPr>
                    <w:t>0.12</w:t>
                  </w:r>
                </w:p>
              </w:tc>
              <w:tc>
                <w:tcPr>
                  <w:tcW w:w="977" w:type="dxa"/>
                  <w:tcBorders>
                    <w:tl2br w:val="nil"/>
                    <w:tr2bl w:val="nil"/>
                  </w:tcBorders>
                  <w:noWrap/>
                  <w:tcMar>
                    <w:top w:w="15" w:type="dxa"/>
                    <w:left w:w="15" w:type="dxa"/>
                    <w:right w:w="15" w:type="dxa"/>
                  </w:tcMar>
                  <w:vAlign w:val="center"/>
                </w:tcPr>
                <w:p>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862" w:type="dxa"/>
                  <w:vMerge w:val="continue"/>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color w:val="auto"/>
                      <w:sz w:val="21"/>
                      <w:szCs w:val="21"/>
                      <w:lang w:val="en-US" w:eastAsia="zh-CN"/>
                    </w:rPr>
                  </w:pPr>
                </w:p>
              </w:tc>
              <w:tc>
                <w:tcPr>
                  <w:tcW w:w="1425" w:type="dxa"/>
                  <w:gridSpan w:val="2"/>
                  <w:tcBorders>
                    <w:tl2br w:val="nil"/>
                    <w:tr2bl w:val="nil"/>
                  </w:tcBorders>
                  <w:noWrap/>
                  <w:tcMar>
                    <w:top w:w="15" w:type="dxa"/>
                    <w:left w:w="15" w:type="dxa"/>
                    <w:right w:w="15" w:type="dxa"/>
                  </w:tcMar>
                  <w:vAlign w:val="center"/>
                </w:tcPr>
                <w:p>
                  <w:pPr>
                    <w:pStyle w:val="61"/>
                    <w:bidi w:val="0"/>
                    <w:rPr>
                      <w:rFonts w:hint="eastAsia"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800"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900"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834"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939"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1026"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0.12</w:t>
                  </w:r>
                </w:p>
              </w:tc>
              <w:tc>
                <w:tcPr>
                  <w:tcW w:w="1026"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1027"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66" w:type="dxa"/>
                  <w:gridSpan w:val="2"/>
                  <w:vMerge w:val="restart"/>
                  <w:tcBorders>
                    <w:tl2br w:val="nil"/>
                    <w:tr2bl w:val="nil"/>
                  </w:tcBorders>
                  <w:noWrap/>
                  <w:tcMar>
                    <w:top w:w="15" w:type="dxa"/>
                    <w:left w:w="15" w:type="dxa"/>
                    <w:right w:w="15" w:type="dxa"/>
                  </w:tcMar>
                  <w:vAlign w:val="center"/>
                </w:tcPr>
                <w:p>
                  <w:pPr>
                    <w:pStyle w:val="94"/>
                    <w:ind w:firstLine="0" w:firstLineChars="0"/>
                    <w:rPr>
                      <w:rFonts w:hint="eastAsia" w:cs="Times New Roman"/>
                      <w:b/>
                      <w:bCs/>
                      <w:sz w:val="21"/>
                      <w:szCs w:val="21"/>
                      <w:lang w:eastAsia="zh-CN"/>
                    </w:rPr>
                  </w:pPr>
                  <w:r>
                    <w:rPr>
                      <w:rFonts w:hint="eastAsia" w:cs="Times New Roman"/>
                      <w:b/>
                      <w:bCs/>
                      <w:sz w:val="21"/>
                      <w:szCs w:val="21"/>
                      <w:lang w:eastAsia="zh-CN"/>
                    </w:rPr>
                    <w:t>合计</w:t>
                  </w:r>
                </w:p>
              </w:tc>
              <w:tc>
                <w:tcPr>
                  <w:tcW w:w="1084"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bidi w:val="0"/>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颗粒物</w:t>
                  </w:r>
                </w:p>
              </w:tc>
              <w:tc>
                <w:tcPr>
                  <w:tcW w:w="97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w:t>
                  </w:r>
                </w:p>
              </w:tc>
              <w:tc>
                <w:tcPr>
                  <w:tcW w:w="977"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862" w:type="dxa"/>
                  <w:tcBorders>
                    <w:tl2br w:val="nil"/>
                    <w:tr2bl w:val="nil"/>
                  </w:tcBorders>
                  <w:noWrap/>
                  <w:tcMar>
                    <w:top w:w="15" w:type="dxa"/>
                    <w:left w:w="15" w:type="dxa"/>
                    <w:right w:w="15" w:type="dxa"/>
                  </w:tcMar>
                  <w:vAlign w:val="center"/>
                </w:tcPr>
                <w:p>
                  <w:pPr>
                    <w:pStyle w:val="61"/>
                    <w:keepNext w:val="0"/>
                    <w:keepLines w:val="0"/>
                    <w:pageBreakBefore w:val="0"/>
                    <w:widowControl w:val="0"/>
                    <w:kinsoku/>
                    <w:wordWrap/>
                    <w:overflowPunct/>
                    <w:topLinePunct w:val="0"/>
                    <w:autoSpaceDE/>
                    <w:autoSpaceDN/>
                    <w:bidi w:val="0"/>
                    <w:adjustRightInd w:val="0"/>
                    <w:snapToGrid w:val="0"/>
                    <w:spacing w:beforeLines="0" w:afterLines="0" w:line="260" w:lineRule="auto"/>
                    <w:ind w:left="60" w:leftChars="0" w:right="60" w:right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cs="Times New Roman"/>
                      <w:b w:val="0"/>
                      <w:bCs w:val="0"/>
                      <w:color w:val="auto"/>
                      <w:kern w:val="0"/>
                      <w:sz w:val="21"/>
                      <w:szCs w:val="21"/>
                      <w:lang w:val="en-US" w:eastAsia="zh-CN" w:bidi="ar-SA"/>
                    </w:rPr>
                    <w:t>/</w:t>
                  </w:r>
                </w:p>
              </w:tc>
              <w:tc>
                <w:tcPr>
                  <w:tcW w:w="1425" w:type="dxa"/>
                  <w:gridSpan w:val="2"/>
                  <w:tcBorders>
                    <w:tl2br w:val="nil"/>
                    <w:tr2bl w:val="nil"/>
                  </w:tcBorders>
                  <w:noWrap/>
                  <w:tcMar>
                    <w:top w:w="15" w:type="dxa"/>
                    <w:left w:w="15" w:type="dxa"/>
                    <w:right w:w="15" w:type="dxa"/>
                  </w:tcMar>
                  <w:vAlign w:val="center"/>
                </w:tcPr>
                <w:p>
                  <w:pPr>
                    <w:pStyle w:val="61"/>
                    <w:bidi w:val="0"/>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800"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900"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834"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939"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1026" w:type="dxa"/>
                  <w:tcBorders>
                    <w:tl2br w:val="nil"/>
                    <w:tr2bl w:val="nil"/>
                  </w:tcBorders>
                  <w:noWrap/>
                  <w:tcMar>
                    <w:top w:w="15" w:type="dxa"/>
                    <w:left w:w="15" w:type="dxa"/>
                    <w:right w:w="15" w:type="dxa"/>
                  </w:tcMar>
                  <w:vAlign w:val="center"/>
                </w:tcPr>
                <w:p>
                  <w:pPr>
                    <w:pStyle w:val="70"/>
                    <w:bidi w:val="0"/>
                    <w:rPr>
                      <w:rFonts w:hint="default"/>
                      <w:b w:val="0"/>
                      <w:bCs w:val="0"/>
                      <w:lang w:val="en-US" w:eastAsia="zh-CN"/>
                    </w:rPr>
                  </w:pPr>
                  <w:r>
                    <w:rPr>
                      <w:rFonts w:hint="eastAsia"/>
                      <w:b w:val="0"/>
                      <w:bCs w:val="0"/>
                      <w:lang w:val="en-US" w:eastAsia="zh-CN"/>
                    </w:rPr>
                    <w:t>0.739</w:t>
                  </w:r>
                </w:p>
              </w:tc>
              <w:tc>
                <w:tcPr>
                  <w:tcW w:w="1026" w:type="dxa"/>
                  <w:tcBorders>
                    <w:tl2br w:val="nil"/>
                    <w:tr2bl w:val="nil"/>
                  </w:tcBorders>
                  <w:noWrap/>
                  <w:tcMar>
                    <w:top w:w="15" w:type="dxa"/>
                    <w:left w:w="15" w:type="dxa"/>
                    <w:right w:w="15" w:type="dxa"/>
                  </w:tcMar>
                  <w:vAlign w:val="center"/>
                </w:tcPr>
                <w:p>
                  <w:pPr>
                    <w:pStyle w:val="61"/>
                    <w:keepNext w:val="0"/>
                    <w:keepLines w:val="0"/>
                    <w:pageBreakBefore w:val="0"/>
                    <w:widowControl w:val="0"/>
                    <w:kinsoku/>
                    <w:wordWrap/>
                    <w:overflowPunct/>
                    <w:topLinePunct w:val="0"/>
                    <w:autoSpaceDE/>
                    <w:autoSpaceDN/>
                    <w:bidi w:val="0"/>
                    <w:adjustRightInd w:val="0"/>
                    <w:snapToGrid w:val="0"/>
                    <w:spacing w:beforeLines="0" w:afterLines="0" w:line="260" w:lineRule="auto"/>
                    <w:ind w:left="60" w:leftChars="0" w:right="60" w:right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cs="Times New Roman"/>
                      <w:b w:val="0"/>
                      <w:bCs w:val="0"/>
                      <w:color w:val="auto"/>
                      <w:kern w:val="0"/>
                      <w:sz w:val="21"/>
                      <w:szCs w:val="21"/>
                      <w:lang w:val="en-US" w:eastAsia="zh-CN" w:bidi="ar-SA"/>
                    </w:rPr>
                    <w:t>/</w:t>
                  </w:r>
                </w:p>
              </w:tc>
              <w:tc>
                <w:tcPr>
                  <w:tcW w:w="1027"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66" w:type="dxa"/>
                  <w:gridSpan w:val="2"/>
                  <w:vMerge w:val="continue"/>
                  <w:tcBorders>
                    <w:tl2br w:val="nil"/>
                    <w:tr2bl w:val="nil"/>
                  </w:tcBorders>
                  <w:noWrap/>
                  <w:tcMar>
                    <w:top w:w="15" w:type="dxa"/>
                    <w:left w:w="15" w:type="dxa"/>
                    <w:right w:w="15" w:type="dxa"/>
                  </w:tcMar>
                  <w:vAlign w:val="center"/>
                </w:tcPr>
                <w:p>
                  <w:pPr>
                    <w:pStyle w:val="94"/>
                    <w:ind w:firstLine="0" w:firstLineChars="0"/>
                    <w:rPr>
                      <w:rFonts w:hint="eastAsia" w:cs="Times New Roman"/>
                      <w:b/>
                      <w:bCs/>
                      <w:sz w:val="21"/>
                      <w:szCs w:val="21"/>
                      <w:lang w:eastAsia="zh-CN"/>
                    </w:rPr>
                  </w:pPr>
                </w:p>
              </w:tc>
              <w:tc>
                <w:tcPr>
                  <w:tcW w:w="1084"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bidi w:val="0"/>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三乙胺</w:t>
                  </w:r>
                </w:p>
              </w:tc>
              <w:tc>
                <w:tcPr>
                  <w:tcW w:w="977" w:type="dxa"/>
                  <w:tcBorders>
                    <w:tl2br w:val="nil"/>
                    <w:tr2bl w:val="nil"/>
                  </w:tcBorders>
                  <w:noWrap/>
                  <w:tcMar>
                    <w:top w:w="15" w:type="dxa"/>
                    <w:left w:w="15" w:type="dxa"/>
                    <w:right w:w="15" w:type="dxa"/>
                  </w:tcMar>
                  <w:vAlign w:val="center"/>
                </w:tcPr>
                <w:p>
                  <w:pPr>
                    <w:pStyle w:val="61"/>
                    <w:bidi w:val="0"/>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977" w:type="dxa"/>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862" w:type="dxa"/>
                  <w:tcBorders>
                    <w:tl2br w:val="nil"/>
                    <w:tr2bl w:val="nil"/>
                  </w:tcBorders>
                  <w:noWrap/>
                  <w:tcMar>
                    <w:top w:w="15" w:type="dxa"/>
                    <w:left w:w="15" w:type="dxa"/>
                    <w:right w:w="15" w:type="dxa"/>
                  </w:tcMar>
                  <w:vAlign w:val="center"/>
                </w:tcPr>
                <w:p>
                  <w:pPr>
                    <w:pStyle w:val="61"/>
                    <w:bidi w:val="0"/>
                    <w:rPr>
                      <w:rFonts w:hint="eastAsia" w:ascii="Times New Roman"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1425" w:type="dxa"/>
                  <w:gridSpan w:val="2"/>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800" w:type="dxa"/>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900" w:type="dxa"/>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834" w:type="dxa"/>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939" w:type="dxa"/>
                  <w:tcBorders>
                    <w:tl2br w:val="nil"/>
                    <w:tr2bl w:val="nil"/>
                  </w:tcBorders>
                  <w:noWrap/>
                  <w:tcMar>
                    <w:top w:w="15" w:type="dxa"/>
                    <w:left w:w="15" w:type="dxa"/>
                    <w:right w:w="15" w:type="dxa"/>
                  </w:tcMar>
                  <w:vAlign w:val="center"/>
                </w:tcPr>
                <w:p>
                  <w:pPr>
                    <w:pStyle w:val="61"/>
                    <w:bidi w:val="0"/>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1026" w:type="dxa"/>
                  <w:tcBorders>
                    <w:tl2br w:val="nil"/>
                    <w:tr2bl w:val="nil"/>
                  </w:tcBorders>
                  <w:noWrap/>
                  <w:tcMar>
                    <w:top w:w="15" w:type="dxa"/>
                    <w:left w:w="15" w:type="dxa"/>
                    <w:right w:w="15" w:type="dxa"/>
                  </w:tcMar>
                  <w:vAlign w:val="center"/>
                </w:tcPr>
                <w:p>
                  <w:pPr>
                    <w:pStyle w:val="70"/>
                    <w:bidi w:val="0"/>
                    <w:rPr>
                      <w:rFonts w:hint="default"/>
                      <w:b w:val="0"/>
                      <w:bCs w:val="0"/>
                      <w:lang w:val="en-US" w:eastAsia="zh-CN"/>
                    </w:rPr>
                  </w:pPr>
                  <w:r>
                    <w:rPr>
                      <w:rFonts w:hint="eastAsia"/>
                      <w:b w:val="0"/>
                      <w:bCs w:val="0"/>
                      <w:lang w:val="en-US" w:eastAsia="zh-CN"/>
                    </w:rPr>
                    <w:t>0.228</w:t>
                  </w:r>
                </w:p>
              </w:tc>
              <w:tc>
                <w:tcPr>
                  <w:tcW w:w="1026" w:type="dxa"/>
                  <w:tcBorders>
                    <w:tl2br w:val="nil"/>
                    <w:tr2bl w:val="nil"/>
                  </w:tcBorders>
                  <w:noWrap/>
                  <w:tcMar>
                    <w:top w:w="15" w:type="dxa"/>
                    <w:left w:w="15" w:type="dxa"/>
                    <w:right w:w="15" w:type="dxa"/>
                  </w:tcMar>
                  <w:vAlign w:val="center"/>
                </w:tcPr>
                <w:p>
                  <w:pPr>
                    <w:pStyle w:val="61"/>
                    <w:bidi w:val="0"/>
                    <w:rPr>
                      <w:rFonts w:hint="eastAsia" w:ascii="Times New Roman"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1027" w:type="dxa"/>
                  <w:tcBorders>
                    <w:tl2br w:val="nil"/>
                    <w:tr2bl w:val="nil"/>
                  </w:tcBorders>
                  <w:noWrap/>
                  <w:tcMar>
                    <w:top w:w="15" w:type="dxa"/>
                    <w:left w:w="15" w:type="dxa"/>
                    <w:right w:w="15" w:type="dxa"/>
                  </w:tcMar>
                  <w:vAlign w:val="center"/>
                </w:tcPr>
                <w:p>
                  <w:pPr>
                    <w:pStyle w:val="61"/>
                    <w:bidi w:val="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r>
          </w:tbl>
          <w:p>
            <w:pPr>
              <w:pStyle w:val="12"/>
              <w:keepNext w:val="0"/>
              <w:keepLines w:val="0"/>
              <w:pageBreakBefore w:val="0"/>
              <w:widowControl w:val="0"/>
              <w:kinsoku/>
              <w:wordWrap/>
              <w:overflowPunct/>
              <w:topLinePunct w:val="0"/>
              <w:autoSpaceDE/>
              <w:autoSpaceDN/>
              <w:bidi w:val="0"/>
              <w:adjustRightInd w:val="0"/>
              <w:snapToGrid w:val="0"/>
              <w:spacing w:line="20" w:lineRule="exact"/>
              <w:ind w:left="0" w:leftChars="0" w:right="0" w:rightChars="0"/>
              <w:textAlignment w:val="auto"/>
              <w:rPr>
                <w:rFonts w:hint="eastAsia"/>
              </w:rPr>
            </w:pPr>
          </w:p>
          <w:p>
            <w:pPr>
              <w:pStyle w:val="12"/>
              <w:keepNext w:val="0"/>
              <w:keepLines w:val="0"/>
              <w:pageBreakBefore w:val="0"/>
              <w:widowControl w:val="0"/>
              <w:kinsoku/>
              <w:wordWrap/>
              <w:overflowPunct/>
              <w:topLinePunct w:val="0"/>
              <w:autoSpaceDE/>
              <w:autoSpaceDN/>
              <w:bidi w:val="0"/>
              <w:adjustRightInd w:val="0"/>
              <w:snapToGrid w:val="0"/>
              <w:spacing w:line="20" w:lineRule="exact"/>
              <w:ind w:left="0" w:leftChars="0" w:right="0" w:rightChars="0"/>
              <w:textAlignment w:val="auto"/>
              <w:rPr>
                <w:rFonts w:hint="eastAsia"/>
              </w:rPr>
            </w:pPr>
          </w:p>
          <w:p>
            <w:pPr>
              <w:pStyle w:val="12"/>
              <w:keepNext w:val="0"/>
              <w:keepLines w:val="0"/>
              <w:pageBreakBefore w:val="0"/>
              <w:widowControl w:val="0"/>
              <w:kinsoku/>
              <w:wordWrap/>
              <w:overflowPunct/>
              <w:topLinePunct w:val="0"/>
              <w:autoSpaceDE/>
              <w:autoSpaceDN/>
              <w:bidi w:val="0"/>
              <w:adjustRightInd w:val="0"/>
              <w:snapToGrid w:val="0"/>
              <w:spacing w:line="20" w:lineRule="exact"/>
              <w:ind w:left="0" w:leftChars="0" w:right="0" w:rightChars="0"/>
              <w:textAlignment w:val="auto"/>
              <w:rPr>
                <w:rFonts w:hint="eastAsia"/>
              </w:rPr>
            </w:pPr>
          </w:p>
          <w:p>
            <w:pPr>
              <w:pStyle w:val="12"/>
              <w:keepNext w:val="0"/>
              <w:keepLines w:val="0"/>
              <w:pageBreakBefore w:val="0"/>
              <w:widowControl w:val="0"/>
              <w:kinsoku/>
              <w:wordWrap/>
              <w:overflowPunct/>
              <w:topLinePunct w:val="0"/>
              <w:autoSpaceDE/>
              <w:autoSpaceDN/>
              <w:bidi w:val="0"/>
              <w:adjustRightInd w:val="0"/>
              <w:snapToGrid w:val="0"/>
              <w:spacing w:line="20" w:lineRule="exact"/>
              <w:ind w:left="0" w:leftChars="0" w:right="0" w:rightChars="0"/>
              <w:textAlignment w:val="auto"/>
              <w:rPr>
                <w:rFonts w:hint="eastAsia"/>
              </w:rPr>
            </w:pPr>
          </w:p>
          <w:p>
            <w:pPr>
              <w:pStyle w:val="12"/>
              <w:keepNext w:val="0"/>
              <w:keepLines w:val="0"/>
              <w:pageBreakBefore w:val="0"/>
              <w:widowControl w:val="0"/>
              <w:kinsoku/>
              <w:wordWrap/>
              <w:overflowPunct/>
              <w:topLinePunct w:val="0"/>
              <w:autoSpaceDE/>
              <w:autoSpaceDN/>
              <w:bidi w:val="0"/>
              <w:adjustRightInd w:val="0"/>
              <w:snapToGrid w:val="0"/>
              <w:spacing w:line="40" w:lineRule="exact"/>
              <w:textAlignment w:val="auto"/>
              <w:rPr>
                <w:rFonts w:hint="eastAsia"/>
              </w:rPr>
            </w:pPr>
          </w:p>
          <w:p>
            <w:pPr>
              <w:pStyle w:val="12"/>
              <w:keepNext w:val="0"/>
              <w:keepLines w:val="0"/>
              <w:pageBreakBefore w:val="0"/>
              <w:widowControl w:val="0"/>
              <w:kinsoku/>
              <w:wordWrap/>
              <w:overflowPunct/>
              <w:topLinePunct w:val="0"/>
              <w:autoSpaceDE/>
              <w:autoSpaceDN/>
              <w:bidi w:val="0"/>
              <w:adjustRightInd w:val="0"/>
              <w:snapToGrid w:val="0"/>
              <w:spacing w:line="40" w:lineRule="exact"/>
              <w:textAlignment w:val="auto"/>
              <w:rPr>
                <w:rFonts w:hint="eastAsia"/>
              </w:rPr>
            </w:pPr>
          </w:p>
          <w:p>
            <w:pPr>
              <w:pStyle w:val="41"/>
              <w:bidi w:val="0"/>
              <w:rPr>
                <w:rFonts w:hint="default"/>
                <w:b/>
                <w:bCs/>
                <w:lang w:val="en-US" w:eastAsia="zh-CN"/>
              </w:rPr>
            </w:pPr>
            <w:r>
              <w:rPr>
                <w:rFonts w:hint="eastAsia"/>
                <w:b/>
                <w:bCs/>
                <w:lang w:val="en-US" w:eastAsia="zh-CN"/>
              </w:rPr>
              <w:t>1.2废气排放口基本信息</w:t>
            </w:r>
          </w:p>
          <w:p>
            <w:pPr>
              <w:pStyle w:val="72"/>
              <w:bidi w:val="0"/>
              <w:rPr>
                <w:rFonts w:hint="eastAsia"/>
                <w:color w:val="auto"/>
                <w:lang w:eastAsia="zh-CN"/>
              </w:rPr>
            </w:pPr>
            <w:r>
              <w:rPr>
                <w:rFonts w:hint="eastAsia" w:ascii="Times New Roman" w:hAnsi="Times New Roman" w:eastAsia="宋体" w:cs="Times New Roman"/>
                <w:spacing w:val="0"/>
                <w:sz w:val="24"/>
                <w:szCs w:val="24"/>
                <w:lang w:val="en-US" w:eastAsia="zh-CN"/>
              </w:rPr>
              <w:t>排放口基本情况</w:t>
            </w:r>
            <w:r>
              <w:rPr>
                <w:rFonts w:hint="eastAsia" w:cs="Times New Roman"/>
                <w:spacing w:val="0"/>
                <w:sz w:val="24"/>
                <w:szCs w:val="24"/>
                <w:lang w:val="en-US" w:eastAsia="zh-CN"/>
              </w:rPr>
              <w:t>及</w:t>
            </w:r>
            <w:r>
              <w:rPr>
                <w:rFonts w:hint="eastAsia"/>
                <w:color w:val="auto"/>
                <w:lang w:eastAsia="zh-CN"/>
              </w:rPr>
              <w:t>根据</w:t>
            </w:r>
            <w:r>
              <w:rPr>
                <w:rFonts w:hint="eastAsia" w:ascii="Times New Roman" w:hAnsi="Times New Roman" w:eastAsia="宋体" w:cs="Times New Roman"/>
                <w:color w:val="auto"/>
                <w:kern w:val="2"/>
                <w:sz w:val="24"/>
                <w:szCs w:val="22"/>
                <w:lang w:val="en-US" w:eastAsia="zh-CN" w:bidi="ar-SA"/>
              </w:rPr>
              <w:t>《排污单位自行监测技术指南</w:t>
            </w:r>
            <w:r>
              <w:rPr>
                <w:rFonts w:hint="eastAsia" w:cs="Times New Roman"/>
                <w:color w:val="auto"/>
                <w:kern w:val="2"/>
                <w:sz w:val="24"/>
                <w:szCs w:val="22"/>
                <w:lang w:val="en-US" w:eastAsia="zh-CN" w:bidi="ar-SA"/>
              </w:rPr>
              <w:t xml:space="preserve">  </w:t>
            </w:r>
            <w:r>
              <w:rPr>
                <w:rFonts w:hint="eastAsia" w:ascii="Times New Roman" w:hAnsi="Times New Roman" w:eastAsia="宋体" w:cs="Times New Roman"/>
                <w:color w:val="auto"/>
                <w:kern w:val="2"/>
                <w:sz w:val="24"/>
                <w:szCs w:val="22"/>
                <w:lang w:val="en-US" w:eastAsia="zh-CN" w:bidi="ar-SA"/>
              </w:rPr>
              <w:t>金属铸造工业》（HJ1124-20</w:t>
            </w:r>
            <w:r>
              <w:rPr>
                <w:rFonts w:hint="eastAsia" w:cs="Times New Roman"/>
                <w:color w:val="auto"/>
                <w:kern w:val="2"/>
                <w:sz w:val="24"/>
                <w:szCs w:val="22"/>
                <w:lang w:val="en-US" w:eastAsia="zh-CN" w:bidi="ar-SA"/>
              </w:rPr>
              <w:t>22</w:t>
            </w:r>
            <w:r>
              <w:rPr>
                <w:rFonts w:hint="eastAsia" w:ascii="Times New Roman" w:hAnsi="Times New Roman" w:eastAsia="宋体" w:cs="Times New Roman"/>
                <w:color w:val="auto"/>
                <w:kern w:val="2"/>
                <w:sz w:val="24"/>
                <w:szCs w:val="22"/>
                <w:lang w:val="en-US" w:eastAsia="zh-CN" w:bidi="ar-SA"/>
              </w:rPr>
              <w:t>）</w:t>
            </w:r>
            <w:r>
              <w:rPr>
                <w:rFonts w:hint="eastAsia"/>
                <w:color w:val="auto"/>
                <w:lang w:eastAsia="zh-CN"/>
              </w:rPr>
              <w:t>中相关规定，本项</w:t>
            </w:r>
            <w:r>
              <w:rPr>
                <w:rFonts w:hint="eastAsia"/>
                <w:color w:val="auto"/>
                <w:lang w:val="en-US" w:eastAsia="zh-CN"/>
              </w:rPr>
              <w:t>废气排放口基本信息及监测要求</w:t>
            </w:r>
            <w:r>
              <w:rPr>
                <w:rFonts w:hint="eastAsia"/>
                <w:color w:val="auto"/>
                <w:lang w:eastAsia="zh-CN"/>
              </w:rPr>
              <w:t>见下表。</w:t>
            </w:r>
          </w:p>
          <w:p>
            <w:pPr>
              <w:pStyle w:val="37"/>
              <w:spacing w:before="156" w:beforeLines="50"/>
              <w:rPr>
                <w:rFonts w:hint="eastAsia"/>
              </w:rPr>
            </w:pPr>
          </w:p>
          <w:p>
            <w:pPr>
              <w:pStyle w:val="37"/>
              <w:spacing w:before="156" w:beforeLines="50"/>
            </w:pPr>
            <w:r>
              <w:rPr>
                <w:rFonts w:hint="eastAsia"/>
              </w:rPr>
              <w:t>表4</w:t>
            </w:r>
            <w:r>
              <w:t>-</w:t>
            </w:r>
            <w:r>
              <w:rPr>
                <w:rFonts w:hint="eastAsia"/>
                <w:lang w:val="en-US" w:eastAsia="zh-CN"/>
              </w:rPr>
              <w:t>2</w:t>
            </w:r>
            <w:r>
              <w:t xml:space="preserve">  </w:t>
            </w:r>
            <w:r>
              <w:rPr>
                <w:rFonts w:hint="eastAsia"/>
              </w:rPr>
              <w:t>废气排放口基本</w:t>
            </w:r>
            <w:r>
              <w:rPr>
                <w:rFonts w:hint="eastAsia"/>
                <w:lang w:val="en-US" w:eastAsia="zh-CN"/>
              </w:rPr>
              <w:t>情况及监测要求</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864"/>
              <w:gridCol w:w="726"/>
              <w:gridCol w:w="2051"/>
              <w:gridCol w:w="890"/>
              <w:gridCol w:w="660"/>
              <w:gridCol w:w="675"/>
              <w:gridCol w:w="870"/>
              <w:gridCol w:w="1275"/>
              <w:gridCol w:w="1275"/>
              <w:gridCol w:w="1373"/>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97" w:type="pct"/>
                  <w:vMerge w:val="restart"/>
                  <w:vAlign w:val="center"/>
                </w:tcPr>
                <w:p>
                  <w:pPr>
                    <w:pStyle w:val="68"/>
                    <w:jc w:val="center"/>
                    <w:rPr>
                      <w:b w:val="0"/>
                      <w:bCs w:val="0"/>
                      <w:color w:val="auto"/>
                    </w:rPr>
                  </w:pPr>
                  <w:r>
                    <w:rPr>
                      <w:rFonts w:hint="eastAsia"/>
                      <w:b w:val="0"/>
                      <w:bCs w:val="0"/>
                      <w:color w:val="auto"/>
                    </w:rPr>
                    <w:t>排放口编号</w:t>
                  </w:r>
                </w:p>
              </w:tc>
              <w:tc>
                <w:tcPr>
                  <w:tcW w:w="312" w:type="pct"/>
                  <w:vMerge w:val="restart"/>
                  <w:vAlign w:val="center"/>
                </w:tcPr>
                <w:p>
                  <w:pPr>
                    <w:pStyle w:val="68"/>
                    <w:jc w:val="center"/>
                    <w:rPr>
                      <w:b w:val="0"/>
                      <w:bCs w:val="0"/>
                      <w:color w:val="auto"/>
                    </w:rPr>
                  </w:pPr>
                  <w:r>
                    <w:rPr>
                      <w:rFonts w:hint="eastAsia"/>
                      <w:b w:val="0"/>
                      <w:bCs w:val="0"/>
                      <w:color w:val="auto"/>
                    </w:rPr>
                    <w:t>排放口</w:t>
                  </w:r>
                </w:p>
                <w:p>
                  <w:pPr>
                    <w:pStyle w:val="68"/>
                    <w:jc w:val="center"/>
                    <w:rPr>
                      <w:b w:val="0"/>
                      <w:bCs w:val="0"/>
                      <w:color w:val="auto"/>
                    </w:rPr>
                  </w:pPr>
                  <w:r>
                    <w:rPr>
                      <w:rFonts w:hint="eastAsia"/>
                      <w:b w:val="0"/>
                      <w:bCs w:val="0"/>
                      <w:color w:val="auto"/>
                    </w:rPr>
                    <w:t>名称</w:t>
                  </w:r>
                </w:p>
              </w:tc>
              <w:tc>
                <w:tcPr>
                  <w:tcW w:w="262" w:type="pct"/>
                  <w:vMerge w:val="restart"/>
                  <w:vAlign w:val="center"/>
                </w:tcPr>
                <w:p>
                  <w:pPr>
                    <w:pStyle w:val="68"/>
                    <w:jc w:val="center"/>
                    <w:rPr>
                      <w:b w:val="0"/>
                      <w:bCs w:val="0"/>
                      <w:color w:val="auto"/>
                    </w:rPr>
                  </w:pPr>
                  <w:r>
                    <w:rPr>
                      <w:rFonts w:hint="eastAsia"/>
                      <w:b w:val="0"/>
                      <w:bCs w:val="0"/>
                      <w:color w:val="auto"/>
                    </w:rPr>
                    <w:t>排放口类型</w:t>
                  </w:r>
                </w:p>
              </w:tc>
              <w:tc>
                <w:tcPr>
                  <w:tcW w:w="1062" w:type="pct"/>
                  <w:gridSpan w:val="2"/>
                  <w:vAlign w:val="center"/>
                </w:tcPr>
                <w:p>
                  <w:pPr>
                    <w:pStyle w:val="68"/>
                    <w:jc w:val="center"/>
                    <w:rPr>
                      <w:b w:val="0"/>
                      <w:bCs w:val="0"/>
                      <w:color w:val="auto"/>
                    </w:rPr>
                  </w:pPr>
                  <w:r>
                    <w:rPr>
                      <w:rFonts w:hint="eastAsia"/>
                      <w:b w:val="0"/>
                      <w:bCs w:val="0"/>
                      <w:color w:val="auto"/>
                    </w:rPr>
                    <w:t>排放标准</w:t>
                  </w:r>
                </w:p>
              </w:tc>
              <w:tc>
                <w:tcPr>
                  <w:tcW w:w="1717" w:type="pct"/>
                  <w:gridSpan w:val="5"/>
                  <w:vAlign w:val="center"/>
                </w:tcPr>
                <w:p>
                  <w:pPr>
                    <w:pStyle w:val="68"/>
                    <w:jc w:val="center"/>
                    <w:rPr>
                      <w:b w:val="0"/>
                      <w:bCs w:val="0"/>
                      <w:color w:val="auto"/>
                    </w:rPr>
                  </w:pPr>
                  <w:r>
                    <w:rPr>
                      <w:rFonts w:hint="eastAsia"/>
                      <w:b w:val="0"/>
                      <w:bCs w:val="0"/>
                      <w:color w:val="auto"/>
                    </w:rPr>
                    <w:t>排放口信息</w:t>
                  </w:r>
                </w:p>
              </w:tc>
              <w:tc>
                <w:tcPr>
                  <w:tcW w:w="495" w:type="pct"/>
                  <w:vMerge w:val="restart"/>
                  <w:vAlign w:val="center"/>
                </w:tcPr>
                <w:p>
                  <w:pPr>
                    <w:pStyle w:val="68"/>
                    <w:jc w:val="center"/>
                    <w:rPr>
                      <w:rFonts w:hint="default"/>
                      <w:b/>
                      <w:bCs/>
                      <w:vertAlign w:val="baseline"/>
                      <w:lang w:val="en-US" w:eastAsia="zh-CN"/>
                    </w:rPr>
                  </w:pPr>
                  <w:r>
                    <w:rPr>
                      <w:rFonts w:hint="eastAsia"/>
                      <w:b/>
                      <w:bCs/>
                      <w:vertAlign w:val="baseline"/>
                      <w:lang w:val="en-US" w:eastAsia="zh-CN"/>
                    </w:rPr>
                    <w:t>监测因子</w:t>
                  </w:r>
                </w:p>
              </w:tc>
              <w:tc>
                <w:tcPr>
                  <w:tcW w:w="752" w:type="pct"/>
                  <w:vMerge w:val="restart"/>
                  <w:vAlign w:val="center"/>
                </w:tcPr>
                <w:p>
                  <w:pPr>
                    <w:pStyle w:val="68"/>
                    <w:jc w:val="center"/>
                    <w:rPr>
                      <w:rFonts w:hint="eastAsia" w:ascii="Times New Roman" w:hAnsi="Times New Roman" w:eastAsia="宋体" w:cs="Times New Roman"/>
                      <w:b w:val="0"/>
                      <w:bCs w:val="0"/>
                      <w:kern w:val="2"/>
                      <w:sz w:val="21"/>
                      <w:szCs w:val="22"/>
                      <w:lang w:val="en-US" w:eastAsia="zh-CN" w:bidi="ar-SA"/>
                    </w:rPr>
                  </w:pPr>
                  <w:r>
                    <w:rPr>
                      <w:rFonts w:hint="eastAsia"/>
                      <w:b/>
                      <w:bCs/>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97" w:type="pct"/>
                  <w:vMerge w:val="continue"/>
                  <w:vAlign w:val="center"/>
                </w:tcPr>
                <w:p>
                  <w:pPr>
                    <w:pStyle w:val="68"/>
                    <w:jc w:val="center"/>
                    <w:rPr>
                      <w:b w:val="0"/>
                      <w:bCs w:val="0"/>
                      <w:color w:val="auto"/>
                    </w:rPr>
                  </w:pPr>
                </w:p>
              </w:tc>
              <w:tc>
                <w:tcPr>
                  <w:tcW w:w="312" w:type="pct"/>
                  <w:vMerge w:val="continue"/>
                  <w:vAlign w:val="center"/>
                </w:tcPr>
                <w:p>
                  <w:pPr>
                    <w:pStyle w:val="68"/>
                    <w:jc w:val="center"/>
                    <w:rPr>
                      <w:b w:val="0"/>
                      <w:bCs w:val="0"/>
                      <w:color w:val="auto"/>
                    </w:rPr>
                  </w:pPr>
                </w:p>
              </w:tc>
              <w:tc>
                <w:tcPr>
                  <w:tcW w:w="262" w:type="pct"/>
                  <w:vMerge w:val="continue"/>
                  <w:vAlign w:val="center"/>
                </w:tcPr>
                <w:p>
                  <w:pPr>
                    <w:pStyle w:val="68"/>
                    <w:jc w:val="center"/>
                    <w:rPr>
                      <w:b w:val="0"/>
                      <w:bCs w:val="0"/>
                      <w:color w:val="auto"/>
                    </w:rPr>
                  </w:pPr>
                </w:p>
              </w:tc>
              <w:tc>
                <w:tcPr>
                  <w:tcW w:w="740" w:type="pct"/>
                  <w:vMerge w:val="restart"/>
                  <w:vAlign w:val="center"/>
                </w:tcPr>
                <w:p>
                  <w:pPr>
                    <w:pStyle w:val="68"/>
                    <w:jc w:val="center"/>
                    <w:rPr>
                      <w:b w:val="0"/>
                      <w:bCs w:val="0"/>
                      <w:color w:val="auto"/>
                    </w:rPr>
                  </w:pPr>
                  <w:r>
                    <w:rPr>
                      <w:rFonts w:hint="eastAsia"/>
                      <w:b w:val="0"/>
                      <w:bCs w:val="0"/>
                      <w:color w:val="auto"/>
                    </w:rPr>
                    <w:t>名称</w:t>
                  </w:r>
                </w:p>
              </w:tc>
              <w:tc>
                <w:tcPr>
                  <w:tcW w:w="321" w:type="pct"/>
                  <w:vMerge w:val="restart"/>
                  <w:vAlign w:val="center"/>
                </w:tcPr>
                <w:p>
                  <w:pPr>
                    <w:pStyle w:val="68"/>
                    <w:jc w:val="center"/>
                    <w:rPr>
                      <w:b w:val="0"/>
                      <w:bCs w:val="0"/>
                      <w:color w:val="auto"/>
                    </w:rPr>
                  </w:pPr>
                  <w:r>
                    <w:rPr>
                      <w:rFonts w:hint="eastAsia"/>
                      <w:b w:val="0"/>
                      <w:bCs w:val="0"/>
                      <w:color w:val="auto"/>
                    </w:rPr>
                    <w:t>浓度</w:t>
                  </w:r>
                </w:p>
                <w:p>
                  <w:pPr>
                    <w:pStyle w:val="68"/>
                    <w:jc w:val="center"/>
                    <w:rPr>
                      <w:b w:val="0"/>
                      <w:bCs w:val="0"/>
                      <w:color w:val="auto"/>
                    </w:rPr>
                  </w:pPr>
                  <w:r>
                    <w:rPr>
                      <w:rFonts w:hint="eastAsia"/>
                      <w:b w:val="0"/>
                      <w:bCs w:val="0"/>
                      <w:color w:val="auto"/>
                    </w:rPr>
                    <w:t>限值</w:t>
                  </w:r>
                </w:p>
                <w:p>
                  <w:pPr>
                    <w:pStyle w:val="68"/>
                    <w:ind w:left="-105" w:leftChars="-50" w:right="-105" w:rightChars="-50"/>
                    <w:jc w:val="center"/>
                    <w:rPr>
                      <w:b w:val="0"/>
                      <w:bCs w:val="0"/>
                      <w:color w:val="auto"/>
                    </w:rPr>
                  </w:pPr>
                  <w:r>
                    <w:rPr>
                      <w:rFonts w:hint="eastAsia"/>
                      <w:b w:val="0"/>
                      <w:bCs w:val="0"/>
                      <w:color w:val="auto"/>
                    </w:rPr>
                    <w:t>mg/m</w:t>
                  </w:r>
                  <w:r>
                    <w:rPr>
                      <w:b w:val="0"/>
                      <w:bCs w:val="0"/>
                      <w:color w:val="auto"/>
                      <w:vertAlign w:val="superscript"/>
                    </w:rPr>
                    <w:t>3</w:t>
                  </w:r>
                </w:p>
              </w:tc>
              <w:tc>
                <w:tcPr>
                  <w:tcW w:w="238" w:type="pct"/>
                  <w:vMerge w:val="restart"/>
                  <w:vAlign w:val="center"/>
                </w:tcPr>
                <w:p>
                  <w:pPr>
                    <w:pStyle w:val="68"/>
                    <w:ind w:left="-105" w:leftChars="-50" w:right="-105" w:rightChars="-50"/>
                    <w:jc w:val="center"/>
                    <w:rPr>
                      <w:b w:val="0"/>
                      <w:bCs w:val="0"/>
                      <w:color w:val="auto"/>
                    </w:rPr>
                  </w:pPr>
                  <w:r>
                    <w:rPr>
                      <w:rFonts w:hint="eastAsia"/>
                      <w:b w:val="0"/>
                      <w:bCs w:val="0"/>
                      <w:color w:val="auto"/>
                    </w:rPr>
                    <w:t>高度（m）</w:t>
                  </w:r>
                </w:p>
              </w:tc>
              <w:tc>
                <w:tcPr>
                  <w:tcW w:w="243" w:type="pct"/>
                  <w:vMerge w:val="restart"/>
                  <w:vAlign w:val="center"/>
                </w:tcPr>
                <w:p>
                  <w:pPr>
                    <w:pStyle w:val="68"/>
                    <w:ind w:left="-105" w:leftChars="-50" w:right="-105" w:rightChars="-50"/>
                    <w:jc w:val="center"/>
                    <w:rPr>
                      <w:b w:val="0"/>
                      <w:bCs w:val="0"/>
                      <w:color w:val="auto"/>
                    </w:rPr>
                  </w:pPr>
                  <w:r>
                    <w:rPr>
                      <w:rFonts w:hint="eastAsia"/>
                      <w:b w:val="0"/>
                      <w:bCs w:val="0"/>
                      <w:color w:val="auto"/>
                    </w:rPr>
                    <w:t>内径（m）</w:t>
                  </w:r>
                </w:p>
              </w:tc>
              <w:tc>
                <w:tcPr>
                  <w:tcW w:w="314" w:type="pct"/>
                  <w:vMerge w:val="restart"/>
                  <w:vAlign w:val="center"/>
                </w:tcPr>
                <w:p>
                  <w:pPr>
                    <w:pStyle w:val="68"/>
                    <w:ind w:left="-105" w:leftChars="-50" w:right="-105" w:rightChars="-50"/>
                    <w:jc w:val="center"/>
                    <w:rPr>
                      <w:rFonts w:hint="eastAsia"/>
                      <w:b w:val="0"/>
                      <w:bCs w:val="0"/>
                      <w:color w:val="auto"/>
                    </w:rPr>
                  </w:pPr>
                  <w:r>
                    <w:rPr>
                      <w:rFonts w:hint="eastAsia"/>
                      <w:b w:val="0"/>
                      <w:bCs w:val="0"/>
                      <w:color w:val="auto"/>
                    </w:rPr>
                    <w:t>温度</w:t>
                  </w:r>
                </w:p>
                <w:p>
                  <w:pPr>
                    <w:pStyle w:val="68"/>
                    <w:ind w:left="-105" w:leftChars="-50" w:right="-105" w:rightChars="-50"/>
                    <w:jc w:val="center"/>
                    <w:rPr>
                      <w:b w:val="0"/>
                      <w:bCs w:val="0"/>
                      <w:color w:val="auto"/>
                    </w:rPr>
                  </w:pPr>
                  <w:r>
                    <w:rPr>
                      <w:rFonts w:hint="eastAsia"/>
                      <w:b w:val="0"/>
                      <w:bCs w:val="0"/>
                      <w:color w:val="auto"/>
                    </w:rPr>
                    <w:t>（℃）</w:t>
                  </w:r>
                </w:p>
              </w:tc>
              <w:tc>
                <w:tcPr>
                  <w:tcW w:w="921" w:type="pct"/>
                  <w:gridSpan w:val="2"/>
                  <w:vAlign w:val="center"/>
                </w:tcPr>
                <w:p>
                  <w:pPr>
                    <w:pStyle w:val="68"/>
                    <w:jc w:val="center"/>
                    <w:rPr>
                      <w:b w:val="0"/>
                      <w:bCs w:val="0"/>
                      <w:color w:val="auto"/>
                    </w:rPr>
                  </w:pPr>
                  <w:r>
                    <w:rPr>
                      <w:rFonts w:hint="eastAsia"/>
                      <w:b w:val="0"/>
                      <w:bCs w:val="0"/>
                      <w:color w:val="auto"/>
                    </w:rPr>
                    <w:t>地理坐标</w:t>
                  </w:r>
                </w:p>
              </w:tc>
              <w:tc>
                <w:tcPr>
                  <w:tcW w:w="495" w:type="pct"/>
                  <w:vMerge w:val="continue"/>
                  <w:vAlign w:val="center"/>
                </w:tcPr>
                <w:p>
                  <w:pPr>
                    <w:pStyle w:val="68"/>
                    <w:jc w:val="center"/>
                    <w:rPr>
                      <w:rFonts w:hint="eastAsia"/>
                      <w:b w:val="0"/>
                      <w:bCs w:val="0"/>
                      <w:color w:val="0000FF"/>
                    </w:rPr>
                  </w:pPr>
                </w:p>
              </w:tc>
              <w:tc>
                <w:tcPr>
                  <w:tcW w:w="752" w:type="pct"/>
                  <w:vMerge w:val="continue"/>
                  <w:vAlign w:val="center"/>
                </w:tcPr>
                <w:p>
                  <w:pPr>
                    <w:pStyle w:val="68"/>
                    <w:jc w:val="center"/>
                    <w:rPr>
                      <w:rFonts w:hint="eastAsia"/>
                      <w:b w:val="0"/>
                      <w:bCs w:val="0"/>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7" w:type="pct"/>
                  <w:vMerge w:val="continue"/>
                  <w:vAlign w:val="center"/>
                </w:tcPr>
                <w:p>
                  <w:pPr>
                    <w:pStyle w:val="68"/>
                    <w:jc w:val="center"/>
                    <w:rPr>
                      <w:b w:val="0"/>
                      <w:bCs w:val="0"/>
                      <w:color w:val="auto"/>
                    </w:rPr>
                  </w:pPr>
                </w:p>
              </w:tc>
              <w:tc>
                <w:tcPr>
                  <w:tcW w:w="312" w:type="pct"/>
                  <w:vMerge w:val="continue"/>
                  <w:vAlign w:val="center"/>
                </w:tcPr>
                <w:p>
                  <w:pPr>
                    <w:pStyle w:val="68"/>
                    <w:jc w:val="center"/>
                    <w:rPr>
                      <w:b w:val="0"/>
                      <w:bCs w:val="0"/>
                      <w:color w:val="auto"/>
                    </w:rPr>
                  </w:pPr>
                </w:p>
              </w:tc>
              <w:tc>
                <w:tcPr>
                  <w:tcW w:w="262" w:type="pct"/>
                  <w:vMerge w:val="continue"/>
                  <w:vAlign w:val="center"/>
                </w:tcPr>
                <w:p>
                  <w:pPr>
                    <w:pStyle w:val="68"/>
                    <w:jc w:val="center"/>
                    <w:rPr>
                      <w:b w:val="0"/>
                      <w:bCs w:val="0"/>
                      <w:color w:val="auto"/>
                    </w:rPr>
                  </w:pPr>
                </w:p>
              </w:tc>
              <w:tc>
                <w:tcPr>
                  <w:tcW w:w="740" w:type="pct"/>
                  <w:vMerge w:val="continue"/>
                  <w:vAlign w:val="center"/>
                </w:tcPr>
                <w:p>
                  <w:pPr>
                    <w:pStyle w:val="68"/>
                    <w:jc w:val="center"/>
                    <w:rPr>
                      <w:b w:val="0"/>
                      <w:bCs w:val="0"/>
                      <w:color w:val="auto"/>
                    </w:rPr>
                  </w:pPr>
                </w:p>
              </w:tc>
              <w:tc>
                <w:tcPr>
                  <w:tcW w:w="321" w:type="pct"/>
                  <w:vMerge w:val="continue"/>
                  <w:vAlign w:val="center"/>
                </w:tcPr>
                <w:p>
                  <w:pPr>
                    <w:pStyle w:val="68"/>
                    <w:jc w:val="center"/>
                    <w:rPr>
                      <w:b w:val="0"/>
                      <w:bCs w:val="0"/>
                      <w:color w:val="auto"/>
                    </w:rPr>
                  </w:pPr>
                </w:p>
              </w:tc>
              <w:tc>
                <w:tcPr>
                  <w:tcW w:w="238" w:type="pct"/>
                  <w:vMerge w:val="continue"/>
                  <w:vAlign w:val="center"/>
                </w:tcPr>
                <w:p>
                  <w:pPr>
                    <w:pStyle w:val="68"/>
                    <w:jc w:val="center"/>
                    <w:rPr>
                      <w:b w:val="0"/>
                      <w:bCs w:val="0"/>
                      <w:color w:val="auto"/>
                    </w:rPr>
                  </w:pPr>
                </w:p>
              </w:tc>
              <w:tc>
                <w:tcPr>
                  <w:tcW w:w="243" w:type="pct"/>
                  <w:vMerge w:val="continue"/>
                  <w:vAlign w:val="center"/>
                </w:tcPr>
                <w:p>
                  <w:pPr>
                    <w:pStyle w:val="68"/>
                    <w:jc w:val="center"/>
                    <w:rPr>
                      <w:b w:val="0"/>
                      <w:bCs w:val="0"/>
                      <w:color w:val="auto"/>
                    </w:rPr>
                  </w:pPr>
                </w:p>
              </w:tc>
              <w:tc>
                <w:tcPr>
                  <w:tcW w:w="314" w:type="pct"/>
                  <w:vMerge w:val="continue"/>
                  <w:vAlign w:val="center"/>
                </w:tcPr>
                <w:p>
                  <w:pPr>
                    <w:pStyle w:val="68"/>
                    <w:jc w:val="center"/>
                    <w:rPr>
                      <w:b w:val="0"/>
                      <w:bCs w:val="0"/>
                      <w:color w:val="auto"/>
                    </w:rPr>
                  </w:pPr>
                </w:p>
              </w:tc>
              <w:tc>
                <w:tcPr>
                  <w:tcW w:w="460" w:type="pct"/>
                  <w:vAlign w:val="center"/>
                </w:tcPr>
                <w:p>
                  <w:pPr>
                    <w:pStyle w:val="68"/>
                    <w:jc w:val="center"/>
                    <w:rPr>
                      <w:b w:val="0"/>
                      <w:bCs w:val="0"/>
                      <w:color w:val="auto"/>
                    </w:rPr>
                  </w:pPr>
                  <w:r>
                    <w:rPr>
                      <w:rFonts w:hint="eastAsia"/>
                      <w:b w:val="0"/>
                      <w:bCs w:val="0"/>
                      <w:color w:val="auto"/>
                    </w:rPr>
                    <w:t>经度°</w:t>
                  </w:r>
                </w:p>
              </w:tc>
              <w:tc>
                <w:tcPr>
                  <w:tcW w:w="460" w:type="pct"/>
                  <w:vAlign w:val="center"/>
                </w:tcPr>
                <w:p>
                  <w:pPr>
                    <w:pStyle w:val="68"/>
                    <w:jc w:val="center"/>
                    <w:rPr>
                      <w:b w:val="0"/>
                      <w:bCs w:val="0"/>
                      <w:color w:val="auto"/>
                    </w:rPr>
                  </w:pPr>
                  <w:r>
                    <w:rPr>
                      <w:rFonts w:hint="eastAsia"/>
                      <w:b w:val="0"/>
                      <w:bCs w:val="0"/>
                      <w:color w:val="auto"/>
                    </w:rPr>
                    <w:t>纬度°</w:t>
                  </w:r>
                </w:p>
              </w:tc>
              <w:tc>
                <w:tcPr>
                  <w:tcW w:w="495" w:type="pct"/>
                  <w:vMerge w:val="continue"/>
                  <w:vAlign w:val="center"/>
                </w:tcPr>
                <w:p>
                  <w:pPr>
                    <w:pStyle w:val="68"/>
                    <w:jc w:val="center"/>
                    <w:rPr>
                      <w:rFonts w:hint="eastAsia"/>
                      <w:b w:val="0"/>
                      <w:bCs w:val="0"/>
                      <w:color w:val="0000FF"/>
                    </w:rPr>
                  </w:pPr>
                </w:p>
              </w:tc>
              <w:tc>
                <w:tcPr>
                  <w:tcW w:w="752" w:type="pct"/>
                  <w:vMerge w:val="continue"/>
                  <w:vAlign w:val="center"/>
                </w:tcPr>
                <w:p>
                  <w:pPr>
                    <w:pStyle w:val="68"/>
                    <w:jc w:val="center"/>
                    <w:rPr>
                      <w:rFonts w:hint="eastAsia" w:ascii="Times New Roman" w:hAnsi="Times New Roman" w:eastAsia="宋体" w:cs="Times New Roman"/>
                      <w:b w:val="0"/>
                      <w:bCs w:val="0"/>
                      <w:kern w:val="2"/>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7" w:type="pct"/>
                  <w:vAlign w:val="center"/>
                </w:tcPr>
                <w:p>
                  <w:pPr>
                    <w:pStyle w:val="68"/>
                    <w:jc w:val="center"/>
                    <w:rPr>
                      <w:b w:val="0"/>
                      <w:bCs w:val="0"/>
                      <w:sz w:val="21"/>
                      <w:szCs w:val="21"/>
                    </w:rPr>
                  </w:pPr>
                  <w:r>
                    <w:rPr>
                      <w:rFonts w:hint="eastAsia"/>
                      <w:b w:val="0"/>
                      <w:bCs w:val="0"/>
                      <w:sz w:val="21"/>
                      <w:szCs w:val="21"/>
                    </w:rPr>
                    <w:t>D</w:t>
                  </w:r>
                  <w:r>
                    <w:rPr>
                      <w:b w:val="0"/>
                      <w:bCs w:val="0"/>
                      <w:sz w:val="21"/>
                      <w:szCs w:val="21"/>
                    </w:rPr>
                    <w:t>A001</w:t>
                  </w:r>
                </w:p>
              </w:tc>
              <w:tc>
                <w:tcPr>
                  <w:tcW w:w="312" w:type="pct"/>
                  <w:vAlign w:val="center"/>
                </w:tcPr>
                <w:p>
                  <w:pPr>
                    <w:pStyle w:val="68"/>
                    <w:ind w:left="-105" w:leftChars="-50" w:right="-105" w:rightChars="-50"/>
                    <w:jc w:val="center"/>
                    <w:rPr>
                      <w:rFonts w:hint="default" w:eastAsia="宋体"/>
                      <w:b w:val="0"/>
                      <w:bCs w:val="0"/>
                      <w:sz w:val="21"/>
                      <w:szCs w:val="21"/>
                      <w:lang w:val="en-US" w:eastAsia="zh-CN"/>
                    </w:rPr>
                  </w:pPr>
                  <w:r>
                    <w:rPr>
                      <w:rFonts w:hint="eastAsia"/>
                      <w:b w:val="0"/>
                      <w:bCs w:val="0"/>
                      <w:sz w:val="21"/>
                      <w:szCs w:val="21"/>
                      <w:lang w:val="en-US" w:eastAsia="zh-CN"/>
                    </w:rPr>
                    <w:t>熔炼排放口</w:t>
                  </w:r>
                </w:p>
              </w:tc>
              <w:tc>
                <w:tcPr>
                  <w:tcW w:w="262" w:type="pct"/>
                  <w:vAlign w:val="center"/>
                </w:tcPr>
                <w:p>
                  <w:pPr>
                    <w:pStyle w:val="68"/>
                    <w:jc w:val="center"/>
                    <w:rPr>
                      <w:b w:val="0"/>
                      <w:bCs w:val="0"/>
                      <w:sz w:val="21"/>
                      <w:szCs w:val="21"/>
                    </w:rPr>
                  </w:pPr>
                  <w:r>
                    <w:rPr>
                      <w:rFonts w:hint="eastAsia"/>
                      <w:b w:val="0"/>
                      <w:bCs w:val="0"/>
                      <w:sz w:val="21"/>
                      <w:szCs w:val="21"/>
                    </w:rPr>
                    <w:t>一般排放口</w:t>
                  </w:r>
                </w:p>
              </w:tc>
              <w:tc>
                <w:tcPr>
                  <w:tcW w:w="740" w:type="pct"/>
                  <w:vAlign w:val="center"/>
                </w:tcPr>
                <w:p>
                  <w:pPr>
                    <w:pStyle w:val="68"/>
                    <w:jc w:val="center"/>
                    <w:rPr>
                      <w:b w:val="0"/>
                      <w:bCs w:val="0"/>
                      <w:sz w:val="21"/>
                      <w:szCs w:val="21"/>
                    </w:rPr>
                  </w:pPr>
                  <w:r>
                    <w:rPr>
                      <w:rFonts w:hint="eastAsia"/>
                      <w:b w:val="0"/>
                      <w:bCs w:val="0"/>
                      <w:color w:val="auto"/>
                      <w:sz w:val="21"/>
                      <w:szCs w:val="21"/>
                      <w:lang w:val="en-US" w:eastAsia="zh-CN"/>
                    </w:rPr>
                    <w:t>《铸造工业大气污染物排放标准》（</w:t>
                  </w:r>
                  <w:r>
                    <w:rPr>
                      <w:rFonts w:hint="default"/>
                      <w:b w:val="0"/>
                      <w:bCs w:val="0"/>
                      <w:color w:val="auto"/>
                      <w:sz w:val="21"/>
                      <w:szCs w:val="21"/>
                      <w:lang w:val="en-US" w:eastAsia="zh-CN"/>
                    </w:rPr>
                    <w:t>GB39726-2020</w:t>
                  </w:r>
                  <w:r>
                    <w:rPr>
                      <w:rFonts w:hint="eastAsia"/>
                      <w:b w:val="0"/>
                      <w:bCs w:val="0"/>
                      <w:color w:val="auto"/>
                      <w:sz w:val="21"/>
                      <w:szCs w:val="21"/>
                      <w:lang w:val="en-US" w:eastAsia="zh-CN"/>
                    </w:rPr>
                    <w:t>）</w:t>
                  </w:r>
                </w:p>
              </w:tc>
              <w:tc>
                <w:tcPr>
                  <w:tcW w:w="321" w:type="pct"/>
                  <w:vAlign w:val="center"/>
                </w:tcPr>
                <w:p>
                  <w:pPr>
                    <w:pStyle w:val="68"/>
                    <w:jc w:val="center"/>
                    <w:rPr>
                      <w:b w:val="0"/>
                      <w:bCs w:val="0"/>
                      <w:sz w:val="21"/>
                      <w:szCs w:val="21"/>
                    </w:rPr>
                  </w:pPr>
                  <w:r>
                    <w:rPr>
                      <w:rFonts w:hint="eastAsia"/>
                      <w:b w:val="0"/>
                      <w:bCs w:val="0"/>
                      <w:sz w:val="21"/>
                      <w:szCs w:val="21"/>
                      <w:lang w:val="en-US" w:eastAsia="zh-CN"/>
                    </w:rPr>
                    <w:t>30</w:t>
                  </w:r>
                </w:p>
              </w:tc>
              <w:tc>
                <w:tcPr>
                  <w:tcW w:w="238" w:type="pct"/>
                  <w:vAlign w:val="center"/>
                </w:tcPr>
                <w:p>
                  <w:pPr>
                    <w:pStyle w:val="68"/>
                    <w:jc w:val="center"/>
                    <w:rPr>
                      <w:b w:val="0"/>
                      <w:bCs w:val="0"/>
                      <w:sz w:val="21"/>
                      <w:szCs w:val="21"/>
                    </w:rPr>
                  </w:pPr>
                  <w:r>
                    <w:rPr>
                      <w:rFonts w:hint="eastAsia"/>
                      <w:b w:val="0"/>
                      <w:bCs w:val="0"/>
                      <w:sz w:val="21"/>
                      <w:szCs w:val="21"/>
                    </w:rPr>
                    <w:t>1</w:t>
                  </w:r>
                  <w:r>
                    <w:rPr>
                      <w:b w:val="0"/>
                      <w:bCs w:val="0"/>
                      <w:sz w:val="21"/>
                      <w:szCs w:val="21"/>
                    </w:rPr>
                    <w:t>5</w:t>
                  </w:r>
                </w:p>
              </w:tc>
              <w:tc>
                <w:tcPr>
                  <w:tcW w:w="243" w:type="pct"/>
                  <w:vAlign w:val="center"/>
                </w:tcPr>
                <w:p>
                  <w:pPr>
                    <w:pStyle w:val="68"/>
                    <w:jc w:val="center"/>
                    <w:rPr>
                      <w:rFonts w:hint="eastAsia" w:eastAsia="宋体"/>
                      <w:b w:val="0"/>
                      <w:bCs w:val="0"/>
                      <w:sz w:val="21"/>
                      <w:szCs w:val="21"/>
                      <w:lang w:val="en-US" w:eastAsia="zh-CN"/>
                    </w:rPr>
                  </w:pPr>
                  <w:r>
                    <w:rPr>
                      <w:rFonts w:hint="eastAsia"/>
                      <w:b w:val="0"/>
                      <w:bCs w:val="0"/>
                      <w:sz w:val="21"/>
                      <w:szCs w:val="21"/>
                    </w:rPr>
                    <w:t>0</w:t>
                  </w:r>
                  <w:r>
                    <w:rPr>
                      <w:b w:val="0"/>
                      <w:bCs w:val="0"/>
                      <w:sz w:val="21"/>
                      <w:szCs w:val="21"/>
                    </w:rPr>
                    <w:t>.</w:t>
                  </w:r>
                  <w:r>
                    <w:rPr>
                      <w:rFonts w:hint="eastAsia"/>
                      <w:b w:val="0"/>
                      <w:bCs w:val="0"/>
                      <w:sz w:val="21"/>
                      <w:szCs w:val="21"/>
                      <w:lang w:val="en-US" w:eastAsia="zh-CN"/>
                    </w:rPr>
                    <w:t>3</w:t>
                  </w:r>
                </w:p>
              </w:tc>
              <w:tc>
                <w:tcPr>
                  <w:tcW w:w="314" w:type="pct"/>
                  <w:vAlign w:val="center"/>
                </w:tcPr>
                <w:p>
                  <w:pPr>
                    <w:pStyle w:val="68"/>
                    <w:jc w:val="center"/>
                    <w:rPr>
                      <w:b w:val="0"/>
                      <w:bCs w:val="0"/>
                      <w:sz w:val="21"/>
                      <w:szCs w:val="21"/>
                    </w:rPr>
                  </w:pPr>
                  <w:r>
                    <w:rPr>
                      <w:rFonts w:hint="eastAsia"/>
                      <w:b w:val="0"/>
                      <w:bCs w:val="0"/>
                      <w:sz w:val="21"/>
                      <w:szCs w:val="21"/>
                    </w:rPr>
                    <w:t>2</w:t>
                  </w:r>
                  <w:r>
                    <w:rPr>
                      <w:b w:val="0"/>
                      <w:bCs w:val="0"/>
                      <w:sz w:val="21"/>
                      <w:szCs w:val="21"/>
                    </w:rPr>
                    <w:t>0</w:t>
                  </w:r>
                </w:p>
              </w:tc>
              <w:tc>
                <w:tcPr>
                  <w:tcW w:w="460" w:type="pct"/>
                  <w:vAlign w:val="center"/>
                </w:tcPr>
                <w:p>
                  <w:pPr>
                    <w:pStyle w:val="68"/>
                    <w:jc w:val="center"/>
                    <w:rPr>
                      <w:rFonts w:hint="default" w:eastAsia="宋体"/>
                      <w:b w:val="0"/>
                      <w:bCs w:val="0"/>
                      <w:sz w:val="21"/>
                      <w:szCs w:val="21"/>
                      <w:lang w:val="en-US" w:eastAsia="zh-CN"/>
                    </w:rPr>
                  </w:pPr>
                  <w:r>
                    <w:rPr>
                      <w:rFonts w:hint="eastAsia"/>
                      <w:b w:val="0"/>
                      <w:bCs w:val="0"/>
                      <w:sz w:val="21"/>
                      <w:szCs w:val="21"/>
                      <w:lang w:val="en-US" w:eastAsia="zh-CN"/>
                    </w:rPr>
                    <w:t>116.607165</w:t>
                  </w:r>
                </w:p>
              </w:tc>
              <w:tc>
                <w:tcPr>
                  <w:tcW w:w="460" w:type="pct"/>
                  <w:vAlign w:val="center"/>
                </w:tcPr>
                <w:p>
                  <w:pPr>
                    <w:pStyle w:val="68"/>
                    <w:jc w:val="center"/>
                    <w:rPr>
                      <w:rFonts w:hint="default" w:eastAsia="宋体"/>
                      <w:b w:val="0"/>
                      <w:bCs w:val="0"/>
                      <w:sz w:val="21"/>
                      <w:szCs w:val="21"/>
                      <w:lang w:val="en-US" w:eastAsia="zh-CN"/>
                    </w:rPr>
                  </w:pPr>
                  <w:r>
                    <w:rPr>
                      <w:rFonts w:hint="eastAsia"/>
                      <w:b w:val="0"/>
                      <w:bCs w:val="0"/>
                      <w:sz w:val="21"/>
                      <w:szCs w:val="21"/>
                      <w:lang w:val="en-US" w:eastAsia="zh-CN"/>
                    </w:rPr>
                    <w:t>31.90038</w:t>
                  </w:r>
                </w:p>
              </w:tc>
              <w:tc>
                <w:tcPr>
                  <w:tcW w:w="495" w:type="pct"/>
                  <w:vAlign w:val="center"/>
                </w:tcPr>
                <w:p>
                  <w:pPr>
                    <w:jc w:val="center"/>
                    <w:rPr>
                      <w:rFonts w:hint="default"/>
                      <w:vertAlign w:val="baseline"/>
                      <w:lang w:val="en-US" w:eastAsia="zh-CN"/>
                    </w:rPr>
                  </w:pPr>
                  <w:r>
                    <w:rPr>
                      <w:rFonts w:hint="eastAsia"/>
                      <w:vertAlign w:val="baseline"/>
                      <w:lang w:val="en-US" w:eastAsia="zh-CN"/>
                    </w:rPr>
                    <w:t>颗粒物</w:t>
                  </w:r>
                </w:p>
              </w:tc>
              <w:tc>
                <w:tcPr>
                  <w:tcW w:w="752" w:type="pct"/>
                  <w:vAlign w:val="center"/>
                </w:tcPr>
                <w:p>
                  <w:pPr>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97" w:type="pct"/>
                  <w:vAlign w:val="center"/>
                </w:tcPr>
                <w:p>
                  <w:pPr>
                    <w:pStyle w:val="68"/>
                    <w:jc w:val="center"/>
                    <w:rPr>
                      <w:b w:val="0"/>
                      <w:bCs w:val="0"/>
                      <w:sz w:val="21"/>
                      <w:szCs w:val="21"/>
                    </w:rPr>
                  </w:pPr>
                  <w:r>
                    <w:rPr>
                      <w:rFonts w:hint="eastAsia"/>
                      <w:b w:val="0"/>
                      <w:bCs w:val="0"/>
                      <w:sz w:val="21"/>
                      <w:szCs w:val="21"/>
                    </w:rPr>
                    <w:t>D</w:t>
                  </w:r>
                  <w:r>
                    <w:rPr>
                      <w:b w:val="0"/>
                      <w:bCs w:val="0"/>
                      <w:sz w:val="21"/>
                      <w:szCs w:val="21"/>
                    </w:rPr>
                    <w:t>A002</w:t>
                  </w:r>
                </w:p>
              </w:tc>
              <w:tc>
                <w:tcPr>
                  <w:tcW w:w="312" w:type="pct"/>
                  <w:vAlign w:val="center"/>
                </w:tcPr>
                <w:p>
                  <w:pPr>
                    <w:pStyle w:val="68"/>
                    <w:ind w:left="-105" w:leftChars="-50" w:right="-105" w:rightChars="-50"/>
                    <w:jc w:val="center"/>
                    <w:rPr>
                      <w:b w:val="0"/>
                      <w:bCs w:val="0"/>
                      <w:sz w:val="21"/>
                      <w:szCs w:val="21"/>
                    </w:rPr>
                  </w:pPr>
                  <w:r>
                    <w:rPr>
                      <w:rFonts w:hint="eastAsia" w:cs="Times New Roman"/>
                      <w:b w:val="0"/>
                      <w:bCs w:val="0"/>
                      <w:spacing w:val="-5"/>
                      <w:sz w:val="21"/>
                      <w:szCs w:val="21"/>
                      <w:lang w:eastAsia="zh-CN"/>
                    </w:rPr>
                    <w:t>浇注、砂处理</w:t>
                  </w:r>
                  <w:r>
                    <w:rPr>
                      <w:rFonts w:hint="eastAsia"/>
                      <w:b w:val="0"/>
                      <w:bCs w:val="0"/>
                      <w:sz w:val="21"/>
                      <w:szCs w:val="21"/>
                      <w:lang w:val="en-US" w:eastAsia="zh-CN"/>
                    </w:rPr>
                    <w:t>排放口</w:t>
                  </w:r>
                </w:p>
              </w:tc>
              <w:tc>
                <w:tcPr>
                  <w:tcW w:w="262" w:type="pct"/>
                  <w:vAlign w:val="center"/>
                </w:tcPr>
                <w:p>
                  <w:pPr>
                    <w:pStyle w:val="68"/>
                    <w:jc w:val="center"/>
                    <w:rPr>
                      <w:b w:val="0"/>
                      <w:bCs w:val="0"/>
                      <w:sz w:val="21"/>
                      <w:szCs w:val="21"/>
                    </w:rPr>
                  </w:pPr>
                  <w:r>
                    <w:rPr>
                      <w:rFonts w:hint="eastAsia"/>
                      <w:b w:val="0"/>
                      <w:bCs w:val="0"/>
                      <w:sz w:val="21"/>
                      <w:szCs w:val="21"/>
                    </w:rPr>
                    <w:t>一般排放口</w:t>
                  </w:r>
                </w:p>
              </w:tc>
              <w:tc>
                <w:tcPr>
                  <w:tcW w:w="740" w:type="pct"/>
                  <w:vAlign w:val="center"/>
                </w:tcPr>
                <w:p>
                  <w:pPr>
                    <w:pStyle w:val="68"/>
                    <w:jc w:val="center"/>
                    <w:rPr>
                      <w:b w:val="0"/>
                      <w:bCs w:val="0"/>
                      <w:sz w:val="21"/>
                      <w:szCs w:val="21"/>
                    </w:rPr>
                  </w:pPr>
                  <w:r>
                    <w:rPr>
                      <w:rFonts w:hint="eastAsia"/>
                      <w:b w:val="0"/>
                      <w:bCs w:val="0"/>
                      <w:color w:val="auto"/>
                      <w:sz w:val="21"/>
                      <w:szCs w:val="21"/>
                      <w:lang w:val="en-US" w:eastAsia="zh-CN"/>
                    </w:rPr>
                    <w:t>《铸造工业大气污染物排放标准》（</w:t>
                  </w:r>
                  <w:r>
                    <w:rPr>
                      <w:rFonts w:hint="default"/>
                      <w:b w:val="0"/>
                      <w:bCs w:val="0"/>
                      <w:color w:val="auto"/>
                      <w:sz w:val="21"/>
                      <w:szCs w:val="21"/>
                      <w:lang w:val="en-US" w:eastAsia="zh-CN"/>
                    </w:rPr>
                    <w:t>GB39726-2020</w:t>
                  </w:r>
                  <w:r>
                    <w:rPr>
                      <w:rFonts w:hint="eastAsia"/>
                      <w:b w:val="0"/>
                      <w:bCs w:val="0"/>
                      <w:color w:val="auto"/>
                      <w:sz w:val="21"/>
                      <w:szCs w:val="21"/>
                      <w:lang w:val="en-US" w:eastAsia="zh-CN"/>
                    </w:rPr>
                    <w:t>）</w:t>
                  </w:r>
                </w:p>
              </w:tc>
              <w:tc>
                <w:tcPr>
                  <w:tcW w:w="321" w:type="pct"/>
                  <w:vAlign w:val="center"/>
                </w:tcPr>
                <w:p>
                  <w:pPr>
                    <w:pStyle w:val="68"/>
                    <w:jc w:val="center"/>
                    <w:rPr>
                      <w:b w:val="0"/>
                      <w:bCs w:val="0"/>
                      <w:sz w:val="21"/>
                      <w:szCs w:val="21"/>
                    </w:rPr>
                  </w:pPr>
                  <w:r>
                    <w:rPr>
                      <w:rFonts w:hint="eastAsia"/>
                      <w:b w:val="0"/>
                      <w:bCs w:val="0"/>
                      <w:sz w:val="21"/>
                      <w:szCs w:val="21"/>
                      <w:lang w:val="en-US" w:eastAsia="zh-CN"/>
                    </w:rPr>
                    <w:t>30</w:t>
                  </w:r>
                </w:p>
              </w:tc>
              <w:tc>
                <w:tcPr>
                  <w:tcW w:w="238" w:type="pct"/>
                  <w:vAlign w:val="center"/>
                </w:tcPr>
                <w:p>
                  <w:pPr>
                    <w:pStyle w:val="68"/>
                    <w:jc w:val="center"/>
                    <w:rPr>
                      <w:b w:val="0"/>
                      <w:bCs w:val="0"/>
                      <w:sz w:val="21"/>
                      <w:szCs w:val="21"/>
                    </w:rPr>
                  </w:pPr>
                  <w:r>
                    <w:rPr>
                      <w:rFonts w:hint="eastAsia"/>
                      <w:b w:val="0"/>
                      <w:bCs w:val="0"/>
                      <w:sz w:val="21"/>
                      <w:szCs w:val="21"/>
                    </w:rPr>
                    <w:t>1</w:t>
                  </w:r>
                  <w:r>
                    <w:rPr>
                      <w:b w:val="0"/>
                      <w:bCs w:val="0"/>
                      <w:sz w:val="21"/>
                      <w:szCs w:val="21"/>
                    </w:rPr>
                    <w:t>5</w:t>
                  </w:r>
                </w:p>
              </w:tc>
              <w:tc>
                <w:tcPr>
                  <w:tcW w:w="243" w:type="pct"/>
                  <w:vAlign w:val="center"/>
                </w:tcPr>
                <w:p>
                  <w:pPr>
                    <w:pStyle w:val="68"/>
                    <w:jc w:val="center"/>
                    <w:rPr>
                      <w:rFonts w:hint="eastAsia" w:eastAsia="宋体"/>
                      <w:b w:val="0"/>
                      <w:bCs w:val="0"/>
                      <w:sz w:val="21"/>
                      <w:szCs w:val="21"/>
                      <w:lang w:val="en-US" w:eastAsia="zh-CN"/>
                    </w:rPr>
                  </w:pPr>
                  <w:r>
                    <w:rPr>
                      <w:rFonts w:hint="eastAsia"/>
                      <w:b w:val="0"/>
                      <w:bCs w:val="0"/>
                      <w:sz w:val="21"/>
                      <w:szCs w:val="21"/>
                    </w:rPr>
                    <w:t>0</w:t>
                  </w:r>
                  <w:r>
                    <w:rPr>
                      <w:b w:val="0"/>
                      <w:bCs w:val="0"/>
                      <w:sz w:val="21"/>
                      <w:szCs w:val="21"/>
                    </w:rPr>
                    <w:t>.</w:t>
                  </w:r>
                  <w:r>
                    <w:rPr>
                      <w:rFonts w:hint="eastAsia"/>
                      <w:b w:val="0"/>
                      <w:bCs w:val="0"/>
                      <w:sz w:val="21"/>
                      <w:szCs w:val="21"/>
                      <w:lang w:val="en-US" w:eastAsia="zh-CN"/>
                    </w:rPr>
                    <w:t>4</w:t>
                  </w:r>
                </w:p>
              </w:tc>
              <w:tc>
                <w:tcPr>
                  <w:tcW w:w="314" w:type="pct"/>
                  <w:vAlign w:val="center"/>
                </w:tcPr>
                <w:p>
                  <w:pPr>
                    <w:pStyle w:val="68"/>
                    <w:jc w:val="center"/>
                    <w:rPr>
                      <w:b w:val="0"/>
                      <w:bCs w:val="0"/>
                      <w:sz w:val="21"/>
                      <w:szCs w:val="21"/>
                    </w:rPr>
                  </w:pPr>
                  <w:r>
                    <w:rPr>
                      <w:rFonts w:hint="eastAsia"/>
                      <w:b w:val="0"/>
                      <w:bCs w:val="0"/>
                      <w:sz w:val="21"/>
                      <w:szCs w:val="21"/>
                    </w:rPr>
                    <w:t>2</w:t>
                  </w:r>
                  <w:r>
                    <w:rPr>
                      <w:b w:val="0"/>
                      <w:bCs w:val="0"/>
                      <w:sz w:val="21"/>
                      <w:szCs w:val="21"/>
                    </w:rPr>
                    <w:t>0</w:t>
                  </w:r>
                </w:p>
              </w:tc>
              <w:tc>
                <w:tcPr>
                  <w:tcW w:w="460" w:type="pct"/>
                  <w:vAlign w:val="center"/>
                </w:tcPr>
                <w:p>
                  <w:pPr>
                    <w:pStyle w:val="68"/>
                    <w:ind w:left="-105" w:leftChars="-50" w:right="-105" w:rightChars="-50"/>
                    <w:jc w:val="center"/>
                    <w:rPr>
                      <w:rFonts w:hint="default" w:eastAsia="宋体"/>
                      <w:b w:val="0"/>
                      <w:bCs w:val="0"/>
                      <w:sz w:val="21"/>
                      <w:szCs w:val="21"/>
                      <w:lang w:val="en-US" w:eastAsia="zh-CN"/>
                    </w:rPr>
                  </w:pPr>
                  <w:r>
                    <w:rPr>
                      <w:rFonts w:hint="eastAsia"/>
                      <w:b w:val="0"/>
                      <w:bCs w:val="0"/>
                      <w:sz w:val="21"/>
                      <w:szCs w:val="21"/>
                      <w:lang w:val="en-US" w:eastAsia="zh-CN"/>
                    </w:rPr>
                    <w:t>116.9607381</w:t>
                  </w:r>
                </w:p>
              </w:tc>
              <w:tc>
                <w:tcPr>
                  <w:tcW w:w="460" w:type="pct"/>
                  <w:vAlign w:val="center"/>
                </w:tcPr>
                <w:p>
                  <w:pPr>
                    <w:pStyle w:val="68"/>
                    <w:ind w:left="-105" w:leftChars="-50" w:right="-105" w:rightChars="-50"/>
                    <w:jc w:val="center"/>
                    <w:rPr>
                      <w:rFonts w:hint="default" w:eastAsia="宋体"/>
                      <w:b w:val="0"/>
                      <w:bCs w:val="0"/>
                      <w:sz w:val="21"/>
                      <w:szCs w:val="21"/>
                      <w:lang w:val="en-US" w:eastAsia="zh-CN"/>
                    </w:rPr>
                  </w:pPr>
                  <w:r>
                    <w:rPr>
                      <w:rFonts w:hint="eastAsia"/>
                      <w:b w:val="0"/>
                      <w:bCs w:val="0"/>
                      <w:sz w:val="21"/>
                      <w:szCs w:val="21"/>
                      <w:lang w:val="en-US" w:eastAsia="zh-CN"/>
                    </w:rPr>
                    <w:t>31.90069</w:t>
                  </w:r>
                </w:p>
              </w:tc>
              <w:tc>
                <w:tcPr>
                  <w:tcW w:w="495" w:type="pct"/>
                  <w:vAlign w:val="center"/>
                </w:tcPr>
                <w:p>
                  <w:pPr>
                    <w:jc w:val="center"/>
                    <w:rPr>
                      <w:rFonts w:hint="eastAsia"/>
                      <w:vertAlign w:val="baseline"/>
                      <w:lang w:val="en-US" w:eastAsia="zh-CN"/>
                    </w:rPr>
                  </w:pPr>
                  <w:r>
                    <w:rPr>
                      <w:rFonts w:hint="eastAsia"/>
                      <w:vertAlign w:val="baseline"/>
                      <w:lang w:val="en-US" w:eastAsia="zh-CN"/>
                    </w:rPr>
                    <w:t>颗粒物</w:t>
                  </w:r>
                </w:p>
              </w:tc>
              <w:tc>
                <w:tcPr>
                  <w:tcW w:w="752" w:type="pct"/>
                  <w:vAlign w:val="center"/>
                </w:tcPr>
                <w:p>
                  <w:pPr>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97" w:type="pct"/>
                  <w:vAlign w:val="center"/>
                </w:tcPr>
                <w:p>
                  <w:pPr>
                    <w:pStyle w:val="68"/>
                    <w:jc w:val="center"/>
                    <w:rPr>
                      <w:rFonts w:hint="eastAsia" w:eastAsia="宋体"/>
                      <w:b w:val="0"/>
                      <w:bCs w:val="0"/>
                      <w:sz w:val="21"/>
                      <w:szCs w:val="21"/>
                      <w:lang w:val="en-US" w:eastAsia="zh-CN"/>
                    </w:rPr>
                  </w:pPr>
                  <w:r>
                    <w:rPr>
                      <w:rFonts w:hint="eastAsia"/>
                      <w:b w:val="0"/>
                      <w:bCs w:val="0"/>
                      <w:sz w:val="21"/>
                      <w:szCs w:val="21"/>
                    </w:rPr>
                    <w:t>D</w:t>
                  </w:r>
                  <w:r>
                    <w:rPr>
                      <w:b w:val="0"/>
                      <w:bCs w:val="0"/>
                      <w:sz w:val="21"/>
                      <w:szCs w:val="21"/>
                    </w:rPr>
                    <w:t>A00</w:t>
                  </w:r>
                  <w:r>
                    <w:rPr>
                      <w:rFonts w:hint="eastAsia"/>
                      <w:b w:val="0"/>
                      <w:bCs w:val="0"/>
                      <w:sz w:val="21"/>
                      <w:szCs w:val="21"/>
                      <w:lang w:val="en-US" w:eastAsia="zh-CN"/>
                    </w:rPr>
                    <w:t>3</w:t>
                  </w:r>
                </w:p>
              </w:tc>
              <w:tc>
                <w:tcPr>
                  <w:tcW w:w="312" w:type="pct"/>
                  <w:vAlign w:val="center"/>
                </w:tcPr>
                <w:p>
                  <w:pPr>
                    <w:pStyle w:val="68"/>
                    <w:ind w:left="-105" w:leftChars="-50" w:right="-105" w:rightChars="-50"/>
                    <w:jc w:val="center"/>
                    <w:rPr>
                      <w:rFonts w:hint="eastAsia"/>
                      <w:b w:val="0"/>
                      <w:bCs w:val="0"/>
                      <w:sz w:val="21"/>
                      <w:szCs w:val="21"/>
                    </w:rPr>
                  </w:pPr>
                  <w:r>
                    <w:rPr>
                      <w:rFonts w:ascii="宋体" w:hAnsi="宋体" w:eastAsia="宋体" w:cs="宋体"/>
                      <w:b w:val="0"/>
                      <w:bCs w:val="0"/>
                      <w:spacing w:val="-1"/>
                      <w:sz w:val="21"/>
                      <w:szCs w:val="21"/>
                    </w:rPr>
                    <w:t>冷芯盒</w:t>
                  </w:r>
                  <w:r>
                    <w:rPr>
                      <w:rFonts w:hint="eastAsia" w:ascii="宋体" w:hAnsi="宋体" w:cs="宋体"/>
                      <w:b w:val="0"/>
                      <w:bCs w:val="0"/>
                      <w:spacing w:val="-1"/>
                      <w:sz w:val="21"/>
                      <w:szCs w:val="21"/>
                      <w:lang w:eastAsia="zh-CN"/>
                    </w:rPr>
                    <w:t>制芯废气</w:t>
                  </w:r>
                  <w:r>
                    <w:rPr>
                      <w:rFonts w:hint="eastAsia"/>
                      <w:b w:val="0"/>
                      <w:bCs w:val="0"/>
                      <w:sz w:val="21"/>
                      <w:szCs w:val="21"/>
                      <w:lang w:val="en-US" w:eastAsia="zh-CN"/>
                    </w:rPr>
                    <w:t>排放口</w:t>
                  </w:r>
                </w:p>
              </w:tc>
              <w:tc>
                <w:tcPr>
                  <w:tcW w:w="262" w:type="pct"/>
                  <w:vAlign w:val="center"/>
                </w:tcPr>
                <w:p>
                  <w:pPr>
                    <w:pStyle w:val="68"/>
                    <w:jc w:val="center"/>
                    <w:rPr>
                      <w:rFonts w:hint="eastAsia" w:ascii="Times New Roman" w:hAnsi="Times New Roman" w:eastAsia="宋体" w:cs="Times New Roman"/>
                      <w:b w:val="0"/>
                      <w:bCs w:val="0"/>
                      <w:kern w:val="2"/>
                      <w:sz w:val="21"/>
                      <w:szCs w:val="21"/>
                      <w:lang w:val="en-US" w:eastAsia="zh-CN" w:bidi="ar-SA"/>
                    </w:rPr>
                  </w:pPr>
                  <w:r>
                    <w:rPr>
                      <w:rFonts w:hint="eastAsia"/>
                      <w:b w:val="0"/>
                      <w:bCs w:val="0"/>
                      <w:sz w:val="21"/>
                      <w:szCs w:val="21"/>
                    </w:rPr>
                    <w:t>一般排放口</w:t>
                  </w:r>
                </w:p>
              </w:tc>
              <w:tc>
                <w:tcPr>
                  <w:tcW w:w="740" w:type="pct"/>
                  <w:vAlign w:val="center"/>
                </w:tcPr>
                <w:p>
                  <w:pPr>
                    <w:pStyle w:val="68"/>
                    <w:jc w:val="center"/>
                    <w:rPr>
                      <w:rFonts w:hint="eastAsia"/>
                      <w:b w:val="0"/>
                      <w:bCs w:val="0"/>
                      <w:sz w:val="21"/>
                      <w:szCs w:val="21"/>
                    </w:rPr>
                  </w:pPr>
                  <w:r>
                    <w:rPr>
                      <w:rFonts w:hint="eastAsia"/>
                      <w:b w:val="0"/>
                      <w:bCs w:val="0"/>
                      <w:color w:val="auto"/>
                      <w:sz w:val="21"/>
                      <w:szCs w:val="21"/>
                      <w:lang w:val="en-US" w:eastAsia="zh-CN"/>
                    </w:rPr>
                    <w:t>《铸造工业大气污染物排放标准》（</w:t>
                  </w:r>
                  <w:r>
                    <w:rPr>
                      <w:rFonts w:hint="default"/>
                      <w:b w:val="0"/>
                      <w:bCs w:val="0"/>
                      <w:color w:val="auto"/>
                      <w:sz w:val="21"/>
                      <w:szCs w:val="21"/>
                      <w:lang w:val="en-US" w:eastAsia="zh-CN"/>
                    </w:rPr>
                    <w:t>GB39726-2020</w:t>
                  </w:r>
                  <w:r>
                    <w:rPr>
                      <w:rFonts w:hint="eastAsia"/>
                      <w:b w:val="0"/>
                      <w:bCs w:val="0"/>
                      <w:color w:val="auto"/>
                      <w:sz w:val="21"/>
                      <w:szCs w:val="21"/>
                      <w:lang w:val="en-US" w:eastAsia="zh-CN"/>
                    </w:rPr>
                    <w:t>）</w:t>
                  </w:r>
                </w:p>
              </w:tc>
              <w:tc>
                <w:tcPr>
                  <w:tcW w:w="321" w:type="pct"/>
                  <w:vAlign w:val="center"/>
                </w:tcPr>
                <w:p>
                  <w:pPr>
                    <w:pStyle w:val="68"/>
                    <w:jc w:val="center"/>
                    <w:rPr>
                      <w:b w:val="0"/>
                      <w:bCs w:val="0"/>
                      <w:sz w:val="21"/>
                      <w:szCs w:val="21"/>
                    </w:rPr>
                  </w:pPr>
                  <w:r>
                    <w:rPr>
                      <w:rFonts w:hint="eastAsia"/>
                      <w:b w:val="0"/>
                      <w:bCs w:val="0"/>
                      <w:sz w:val="21"/>
                      <w:szCs w:val="21"/>
                      <w:lang w:val="en-US" w:eastAsia="zh-CN"/>
                    </w:rPr>
                    <w:t>30</w:t>
                  </w:r>
                </w:p>
              </w:tc>
              <w:tc>
                <w:tcPr>
                  <w:tcW w:w="238" w:type="pct"/>
                  <w:vAlign w:val="center"/>
                </w:tcPr>
                <w:p>
                  <w:pPr>
                    <w:pStyle w:val="68"/>
                    <w:jc w:val="center"/>
                    <w:rPr>
                      <w:rFonts w:hint="eastAsia" w:ascii="Times New Roman" w:hAnsi="Times New Roman" w:eastAsia="宋体" w:cs="Times New Roman"/>
                      <w:b w:val="0"/>
                      <w:bCs w:val="0"/>
                      <w:kern w:val="2"/>
                      <w:sz w:val="21"/>
                      <w:szCs w:val="21"/>
                      <w:lang w:val="en-US" w:eastAsia="zh-CN" w:bidi="ar-SA"/>
                    </w:rPr>
                  </w:pPr>
                  <w:r>
                    <w:rPr>
                      <w:rFonts w:hint="eastAsia"/>
                      <w:b w:val="0"/>
                      <w:bCs w:val="0"/>
                      <w:sz w:val="21"/>
                      <w:szCs w:val="21"/>
                    </w:rPr>
                    <w:t>1</w:t>
                  </w:r>
                  <w:r>
                    <w:rPr>
                      <w:b w:val="0"/>
                      <w:bCs w:val="0"/>
                      <w:sz w:val="21"/>
                      <w:szCs w:val="21"/>
                    </w:rPr>
                    <w:t>5</w:t>
                  </w:r>
                </w:p>
              </w:tc>
              <w:tc>
                <w:tcPr>
                  <w:tcW w:w="243" w:type="pct"/>
                  <w:vAlign w:val="center"/>
                </w:tcPr>
                <w:p>
                  <w:pPr>
                    <w:pStyle w:val="68"/>
                    <w:jc w:val="center"/>
                    <w:rPr>
                      <w:rFonts w:hint="default" w:eastAsia="宋体"/>
                      <w:b w:val="0"/>
                      <w:bCs w:val="0"/>
                      <w:sz w:val="21"/>
                      <w:szCs w:val="21"/>
                      <w:lang w:val="en-US" w:eastAsia="zh-CN"/>
                    </w:rPr>
                  </w:pPr>
                  <w:r>
                    <w:rPr>
                      <w:rFonts w:hint="eastAsia"/>
                      <w:b w:val="0"/>
                      <w:bCs w:val="0"/>
                      <w:sz w:val="21"/>
                      <w:szCs w:val="21"/>
                      <w:lang w:val="en-US" w:eastAsia="zh-CN"/>
                    </w:rPr>
                    <w:t>0.3</w:t>
                  </w:r>
                </w:p>
              </w:tc>
              <w:tc>
                <w:tcPr>
                  <w:tcW w:w="314" w:type="pct"/>
                  <w:vAlign w:val="center"/>
                </w:tcPr>
                <w:p>
                  <w:pPr>
                    <w:pStyle w:val="68"/>
                    <w:jc w:val="center"/>
                    <w:rPr>
                      <w:rFonts w:hint="eastAsia" w:ascii="Times New Roman" w:hAnsi="Times New Roman" w:eastAsia="宋体" w:cs="Times New Roman"/>
                      <w:b w:val="0"/>
                      <w:bCs w:val="0"/>
                      <w:kern w:val="2"/>
                      <w:sz w:val="21"/>
                      <w:szCs w:val="21"/>
                      <w:lang w:val="en-US" w:eastAsia="zh-CN" w:bidi="ar-SA"/>
                    </w:rPr>
                  </w:pPr>
                  <w:r>
                    <w:rPr>
                      <w:rFonts w:hint="eastAsia"/>
                      <w:b w:val="0"/>
                      <w:bCs w:val="0"/>
                      <w:sz w:val="21"/>
                      <w:szCs w:val="21"/>
                    </w:rPr>
                    <w:t>2</w:t>
                  </w:r>
                  <w:r>
                    <w:rPr>
                      <w:b w:val="0"/>
                      <w:bCs w:val="0"/>
                      <w:sz w:val="21"/>
                      <w:szCs w:val="21"/>
                    </w:rPr>
                    <w:t>0</w:t>
                  </w:r>
                </w:p>
              </w:tc>
              <w:tc>
                <w:tcPr>
                  <w:tcW w:w="460" w:type="pct"/>
                  <w:vAlign w:val="center"/>
                </w:tcPr>
                <w:p>
                  <w:pPr>
                    <w:pStyle w:val="68"/>
                    <w:ind w:left="-105" w:leftChars="-50" w:right="-105" w:rightChars="-50"/>
                    <w:jc w:val="center"/>
                    <w:rPr>
                      <w:rFonts w:hint="default" w:eastAsia="宋体"/>
                      <w:b w:val="0"/>
                      <w:bCs w:val="0"/>
                      <w:sz w:val="21"/>
                      <w:szCs w:val="21"/>
                      <w:lang w:val="en-US" w:eastAsia="zh-CN"/>
                    </w:rPr>
                  </w:pPr>
                  <w:r>
                    <w:rPr>
                      <w:rFonts w:hint="eastAsia"/>
                      <w:b w:val="0"/>
                      <w:bCs w:val="0"/>
                      <w:sz w:val="21"/>
                      <w:szCs w:val="21"/>
                      <w:lang w:val="en-US" w:eastAsia="zh-CN"/>
                    </w:rPr>
                    <w:t>116.607226</w:t>
                  </w:r>
                </w:p>
              </w:tc>
              <w:tc>
                <w:tcPr>
                  <w:tcW w:w="460" w:type="pct"/>
                  <w:vAlign w:val="center"/>
                </w:tcPr>
                <w:p>
                  <w:pPr>
                    <w:pStyle w:val="68"/>
                    <w:ind w:left="-105" w:leftChars="-50" w:right="-105" w:rightChars="-50"/>
                    <w:jc w:val="center"/>
                    <w:rPr>
                      <w:rFonts w:hint="default" w:eastAsia="宋体"/>
                      <w:b w:val="0"/>
                      <w:bCs w:val="0"/>
                      <w:sz w:val="21"/>
                      <w:szCs w:val="21"/>
                      <w:lang w:val="en-US" w:eastAsia="zh-CN"/>
                    </w:rPr>
                  </w:pPr>
                  <w:r>
                    <w:rPr>
                      <w:rFonts w:hint="eastAsia"/>
                      <w:b w:val="0"/>
                      <w:bCs w:val="0"/>
                      <w:sz w:val="21"/>
                      <w:szCs w:val="21"/>
                      <w:lang w:val="en-US" w:eastAsia="zh-CN"/>
                    </w:rPr>
                    <w:t>31.90072</w:t>
                  </w:r>
                </w:p>
              </w:tc>
              <w:tc>
                <w:tcPr>
                  <w:tcW w:w="495" w:type="pct"/>
                  <w:vAlign w:val="center"/>
                </w:tcPr>
                <w:p>
                  <w:pPr>
                    <w:jc w:val="center"/>
                    <w:rPr>
                      <w:rFonts w:hint="default"/>
                      <w:vertAlign w:val="baseline"/>
                      <w:lang w:val="en-US" w:eastAsia="zh-CN"/>
                    </w:rPr>
                  </w:pPr>
                  <w:r>
                    <w:rPr>
                      <w:rFonts w:hint="eastAsia"/>
                      <w:vertAlign w:val="baseline"/>
                      <w:lang w:val="en-US" w:eastAsia="zh-CN"/>
                    </w:rPr>
                    <w:t>颗粒物、臭气浓度</w:t>
                  </w:r>
                </w:p>
              </w:tc>
              <w:tc>
                <w:tcPr>
                  <w:tcW w:w="752" w:type="pct"/>
                  <w:vAlign w:val="center"/>
                </w:tcPr>
                <w:p>
                  <w:pPr>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97" w:type="pct"/>
                  <w:vAlign w:val="center"/>
                </w:tcPr>
                <w:p>
                  <w:pPr>
                    <w:pStyle w:val="68"/>
                    <w:jc w:val="center"/>
                    <w:rPr>
                      <w:rFonts w:hint="eastAsia" w:eastAsia="宋体"/>
                      <w:b w:val="0"/>
                      <w:bCs w:val="0"/>
                      <w:sz w:val="21"/>
                      <w:szCs w:val="21"/>
                      <w:lang w:val="en-US" w:eastAsia="zh-CN"/>
                    </w:rPr>
                  </w:pPr>
                  <w:r>
                    <w:rPr>
                      <w:rFonts w:hint="eastAsia"/>
                      <w:b w:val="0"/>
                      <w:bCs w:val="0"/>
                      <w:sz w:val="21"/>
                      <w:szCs w:val="21"/>
                    </w:rPr>
                    <w:t>D</w:t>
                  </w:r>
                  <w:r>
                    <w:rPr>
                      <w:b w:val="0"/>
                      <w:bCs w:val="0"/>
                      <w:sz w:val="21"/>
                      <w:szCs w:val="21"/>
                    </w:rPr>
                    <w:t>A00</w:t>
                  </w:r>
                  <w:r>
                    <w:rPr>
                      <w:rFonts w:hint="eastAsia"/>
                      <w:b w:val="0"/>
                      <w:bCs w:val="0"/>
                      <w:sz w:val="21"/>
                      <w:szCs w:val="21"/>
                      <w:lang w:val="en-US" w:eastAsia="zh-CN"/>
                    </w:rPr>
                    <w:t>4</w:t>
                  </w:r>
                </w:p>
              </w:tc>
              <w:tc>
                <w:tcPr>
                  <w:tcW w:w="312" w:type="pct"/>
                  <w:vAlign w:val="center"/>
                </w:tcPr>
                <w:p>
                  <w:pPr>
                    <w:pStyle w:val="68"/>
                    <w:ind w:left="-105" w:leftChars="-50" w:right="-105" w:rightChars="-50"/>
                    <w:jc w:val="center"/>
                    <w:rPr>
                      <w:rFonts w:hint="eastAsia"/>
                      <w:b w:val="0"/>
                      <w:bCs w:val="0"/>
                      <w:sz w:val="21"/>
                      <w:szCs w:val="21"/>
                    </w:rPr>
                  </w:pPr>
                  <w:r>
                    <w:rPr>
                      <w:rFonts w:hint="eastAsia" w:ascii="Times New Roman" w:hAnsi="Times New Roman" w:cs="Times New Roman"/>
                      <w:b w:val="0"/>
                      <w:bCs w:val="0"/>
                      <w:spacing w:val="-5"/>
                      <w:sz w:val="21"/>
                      <w:szCs w:val="21"/>
                      <w:lang w:val="en-US" w:eastAsia="zh-CN"/>
                    </w:rPr>
                    <w:t>铸件抛丸清理废气</w:t>
                  </w:r>
                  <w:r>
                    <w:rPr>
                      <w:rFonts w:hint="eastAsia"/>
                      <w:b w:val="0"/>
                      <w:bCs w:val="0"/>
                      <w:sz w:val="21"/>
                      <w:szCs w:val="21"/>
                      <w:lang w:val="en-US" w:eastAsia="zh-CN"/>
                    </w:rPr>
                    <w:t>排放口</w:t>
                  </w:r>
                </w:p>
              </w:tc>
              <w:tc>
                <w:tcPr>
                  <w:tcW w:w="262" w:type="pct"/>
                  <w:vAlign w:val="center"/>
                </w:tcPr>
                <w:p>
                  <w:pPr>
                    <w:pStyle w:val="68"/>
                    <w:jc w:val="center"/>
                    <w:rPr>
                      <w:rFonts w:hint="eastAsia" w:ascii="Times New Roman" w:hAnsi="Times New Roman" w:eastAsia="宋体" w:cs="Times New Roman"/>
                      <w:b w:val="0"/>
                      <w:bCs w:val="0"/>
                      <w:kern w:val="2"/>
                      <w:sz w:val="21"/>
                      <w:szCs w:val="21"/>
                      <w:lang w:val="en-US" w:eastAsia="zh-CN" w:bidi="ar-SA"/>
                    </w:rPr>
                  </w:pPr>
                  <w:r>
                    <w:rPr>
                      <w:rFonts w:hint="eastAsia"/>
                      <w:b w:val="0"/>
                      <w:bCs w:val="0"/>
                      <w:sz w:val="21"/>
                      <w:szCs w:val="21"/>
                    </w:rPr>
                    <w:t>一般排放口</w:t>
                  </w:r>
                </w:p>
              </w:tc>
              <w:tc>
                <w:tcPr>
                  <w:tcW w:w="740" w:type="pct"/>
                  <w:vAlign w:val="center"/>
                </w:tcPr>
                <w:p>
                  <w:pPr>
                    <w:pStyle w:val="68"/>
                    <w:jc w:val="center"/>
                    <w:rPr>
                      <w:rFonts w:hint="eastAsia"/>
                      <w:b w:val="0"/>
                      <w:bCs w:val="0"/>
                      <w:sz w:val="21"/>
                      <w:szCs w:val="21"/>
                    </w:rPr>
                  </w:pPr>
                  <w:r>
                    <w:rPr>
                      <w:rFonts w:hint="eastAsia"/>
                      <w:b w:val="0"/>
                      <w:bCs w:val="0"/>
                      <w:color w:val="auto"/>
                      <w:sz w:val="21"/>
                      <w:szCs w:val="21"/>
                      <w:lang w:val="en-US" w:eastAsia="zh-CN"/>
                    </w:rPr>
                    <w:t>《铸造工业大气污染物排放标准》（</w:t>
                  </w:r>
                  <w:r>
                    <w:rPr>
                      <w:rFonts w:hint="default"/>
                      <w:b w:val="0"/>
                      <w:bCs w:val="0"/>
                      <w:color w:val="auto"/>
                      <w:sz w:val="21"/>
                      <w:szCs w:val="21"/>
                      <w:lang w:val="en-US" w:eastAsia="zh-CN"/>
                    </w:rPr>
                    <w:t>GB39726-2020</w:t>
                  </w:r>
                  <w:r>
                    <w:rPr>
                      <w:rFonts w:hint="eastAsia"/>
                      <w:b w:val="0"/>
                      <w:bCs w:val="0"/>
                      <w:color w:val="auto"/>
                      <w:sz w:val="21"/>
                      <w:szCs w:val="21"/>
                      <w:lang w:val="en-US" w:eastAsia="zh-CN"/>
                    </w:rPr>
                    <w:t>）</w:t>
                  </w:r>
                </w:p>
              </w:tc>
              <w:tc>
                <w:tcPr>
                  <w:tcW w:w="321" w:type="pct"/>
                  <w:vAlign w:val="center"/>
                </w:tcPr>
                <w:p>
                  <w:pPr>
                    <w:pStyle w:val="68"/>
                    <w:jc w:val="center"/>
                    <w:rPr>
                      <w:b w:val="0"/>
                      <w:bCs w:val="0"/>
                      <w:sz w:val="21"/>
                      <w:szCs w:val="21"/>
                    </w:rPr>
                  </w:pPr>
                  <w:r>
                    <w:rPr>
                      <w:rFonts w:hint="eastAsia"/>
                      <w:b w:val="0"/>
                      <w:bCs w:val="0"/>
                      <w:sz w:val="21"/>
                      <w:szCs w:val="21"/>
                      <w:lang w:val="en-US" w:eastAsia="zh-CN"/>
                    </w:rPr>
                    <w:t>30</w:t>
                  </w:r>
                </w:p>
              </w:tc>
              <w:tc>
                <w:tcPr>
                  <w:tcW w:w="238" w:type="pct"/>
                  <w:vAlign w:val="center"/>
                </w:tcPr>
                <w:p>
                  <w:pPr>
                    <w:pStyle w:val="68"/>
                    <w:jc w:val="center"/>
                    <w:rPr>
                      <w:rFonts w:hint="eastAsia" w:ascii="Times New Roman" w:hAnsi="Times New Roman" w:eastAsia="宋体" w:cs="Times New Roman"/>
                      <w:b w:val="0"/>
                      <w:bCs w:val="0"/>
                      <w:kern w:val="2"/>
                      <w:sz w:val="21"/>
                      <w:szCs w:val="21"/>
                      <w:lang w:val="en-US" w:eastAsia="zh-CN" w:bidi="ar-SA"/>
                    </w:rPr>
                  </w:pPr>
                  <w:r>
                    <w:rPr>
                      <w:rFonts w:hint="eastAsia"/>
                      <w:b w:val="0"/>
                      <w:bCs w:val="0"/>
                      <w:sz w:val="21"/>
                      <w:szCs w:val="21"/>
                    </w:rPr>
                    <w:t>1</w:t>
                  </w:r>
                  <w:r>
                    <w:rPr>
                      <w:b w:val="0"/>
                      <w:bCs w:val="0"/>
                      <w:sz w:val="21"/>
                      <w:szCs w:val="21"/>
                    </w:rPr>
                    <w:t>5</w:t>
                  </w:r>
                </w:p>
              </w:tc>
              <w:tc>
                <w:tcPr>
                  <w:tcW w:w="243" w:type="pct"/>
                  <w:vAlign w:val="center"/>
                </w:tcPr>
                <w:p>
                  <w:pPr>
                    <w:pStyle w:val="68"/>
                    <w:jc w:val="center"/>
                    <w:rPr>
                      <w:rFonts w:hint="default" w:eastAsia="宋体"/>
                      <w:b w:val="0"/>
                      <w:bCs w:val="0"/>
                      <w:sz w:val="21"/>
                      <w:szCs w:val="21"/>
                      <w:lang w:val="en-US" w:eastAsia="zh-CN"/>
                    </w:rPr>
                  </w:pPr>
                  <w:r>
                    <w:rPr>
                      <w:rFonts w:hint="eastAsia"/>
                      <w:b w:val="0"/>
                      <w:bCs w:val="0"/>
                      <w:sz w:val="21"/>
                      <w:szCs w:val="21"/>
                      <w:lang w:val="en-US" w:eastAsia="zh-CN"/>
                    </w:rPr>
                    <w:t>0.4</w:t>
                  </w:r>
                </w:p>
              </w:tc>
              <w:tc>
                <w:tcPr>
                  <w:tcW w:w="314" w:type="pct"/>
                  <w:vAlign w:val="center"/>
                </w:tcPr>
                <w:p>
                  <w:pPr>
                    <w:pStyle w:val="68"/>
                    <w:jc w:val="center"/>
                    <w:rPr>
                      <w:rFonts w:hint="eastAsia" w:ascii="Times New Roman" w:hAnsi="Times New Roman" w:eastAsia="宋体" w:cs="Times New Roman"/>
                      <w:b w:val="0"/>
                      <w:bCs w:val="0"/>
                      <w:kern w:val="2"/>
                      <w:sz w:val="21"/>
                      <w:szCs w:val="21"/>
                      <w:lang w:val="en-US" w:eastAsia="zh-CN" w:bidi="ar-SA"/>
                    </w:rPr>
                  </w:pPr>
                  <w:r>
                    <w:rPr>
                      <w:rFonts w:hint="eastAsia"/>
                      <w:b w:val="0"/>
                      <w:bCs w:val="0"/>
                      <w:sz w:val="21"/>
                      <w:szCs w:val="21"/>
                    </w:rPr>
                    <w:t>2</w:t>
                  </w:r>
                  <w:r>
                    <w:rPr>
                      <w:b w:val="0"/>
                      <w:bCs w:val="0"/>
                      <w:sz w:val="21"/>
                      <w:szCs w:val="21"/>
                    </w:rPr>
                    <w:t>0</w:t>
                  </w:r>
                </w:p>
              </w:tc>
              <w:tc>
                <w:tcPr>
                  <w:tcW w:w="460" w:type="pct"/>
                  <w:vAlign w:val="center"/>
                </w:tcPr>
                <w:p>
                  <w:pPr>
                    <w:pStyle w:val="68"/>
                    <w:ind w:left="-105" w:leftChars="-50" w:right="-105" w:rightChars="-50"/>
                    <w:jc w:val="center"/>
                    <w:rPr>
                      <w:rFonts w:hint="default" w:eastAsia="宋体"/>
                      <w:b w:val="0"/>
                      <w:bCs w:val="0"/>
                      <w:sz w:val="21"/>
                      <w:szCs w:val="21"/>
                      <w:lang w:val="en-US" w:eastAsia="zh-CN"/>
                    </w:rPr>
                  </w:pPr>
                  <w:r>
                    <w:rPr>
                      <w:rFonts w:hint="eastAsia"/>
                      <w:b w:val="0"/>
                      <w:bCs w:val="0"/>
                      <w:sz w:val="21"/>
                      <w:szCs w:val="21"/>
                      <w:lang w:val="en-US" w:eastAsia="zh-CN"/>
                    </w:rPr>
                    <w:t>116.607468</w:t>
                  </w:r>
                </w:p>
              </w:tc>
              <w:tc>
                <w:tcPr>
                  <w:tcW w:w="460" w:type="pct"/>
                  <w:vAlign w:val="center"/>
                </w:tcPr>
                <w:p>
                  <w:pPr>
                    <w:pStyle w:val="68"/>
                    <w:ind w:left="-105" w:leftChars="-50" w:right="-105" w:rightChars="-50"/>
                    <w:jc w:val="center"/>
                    <w:rPr>
                      <w:rFonts w:hint="default" w:eastAsia="宋体"/>
                      <w:b w:val="0"/>
                      <w:bCs w:val="0"/>
                      <w:sz w:val="21"/>
                      <w:szCs w:val="21"/>
                      <w:lang w:val="en-US" w:eastAsia="zh-CN"/>
                    </w:rPr>
                  </w:pPr>
                  <w:r>
                    <w:rPr>
                      <w:rFonts w:hint="eastAsia"/>
                      <w:b w:val="0"/>
                      <w:bCs w:val="0"/>
                      <w:sz w:val="21"/>
                      <w:szCs w:val="21"/>
                      <w:lang w:val="en-US" w:eastAsia="zh-CN"/>
                    </w:rPr>
                    <w:t>31.900556</w:t>
                  </w:r>
                </w:p>
              </w:tc>
              <w:tc>
                <w:tcPr>
                  <w:tcW w:w="495" w:type="pct"/>
                  <w:vAlign w:val="center"/>
                </w:tcPr>
                <w:p>
                  <w:pPr>
                    <w:jc w:val="center"/>
                    <w:rPr>
                      <w:rFonts w:hint="eastAsia"/>
                      <w:vertAlign w:val="baseline"/>
                      <w:lang w:val="en-US" w:eastAsia="zh-CN"/>
                    </w:rPr>
                  </w:pPr>
                  <w:r>
                    <w:rPr>
                      <w:rFonts w:hint="eastAsia"/>
                      <w:vertAlign w:val="baseline"/>
                      <w:lang w:val="en-US" w:eastAsia="zh-CN"/>
                    </w:rPr>
                    <w:t>颗粒物</w:t>
                  </w:r>
                </w:p>
              </w:tc>
              <w:tc>
                <w:tcPr>
                  <w:tcW w:w="752" w:type="pct"/>
                  <w:vAlign w:val="center"/>
                </w:tcPr>
                <w:p>
                  <w:pPr>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97" w:type="pct"/>
                  <w:vAlign w:val="center"/>
                </w:tcPr>
                <w:p>
                  <w:pPr>
                    <w:pStyle w:val="68"/>
                    <w:jc w:val="center"/>
                    <w:rPr>
                      <w:rFonts w:hint="eastAsia" w:eastAsia="宋体"/>
                      <w:b w:val="0"/>
                      <w:bCs w:val="0"/>
                      <w:sz w:val="21"/>
                      <w:szCs w:val="21"/>
                      <w:lang w:val="en-US" w:eastAsia="zh-CN"/>
                    </w:rPr>
                  </w:pPr>
                </w:p>
              </w:tc>
              <w:tc>
                <w:tcPr>
                  <w:tcW w:w="312" w:type="pct"/>
                  <w:vAlign w:val="center"/>
                </w:tcPr>
                <w:p>
                  <w:pPr>
                    <w:pStyle w:val="68"/>
                    <w:ind w:left="-105" w:leftChars="-50" w:right="-105" w:rightChars="-50"/>
                    <w:jc w:val="center"/>
                    <w:rPr>
                      <w:rFonts w:hint="eastAsia" w:eastAsia="宋体"/>
                      <w:b w:val="0"/>
                      <w:bCs w:val="0"/>
                      <w:sz w:val="21"/>
                      <w:szCs w:val="21"/>
                      <w:lang w:val="en-US" w:eastAsia="zh-CN"/>
                    </w:rPr>
                  </w:pPr>
                  <w:r>
                    <w:rPr>
                      <w:rFonts w:hint="eastAsia"/>
                      <w:b w:val="0"/>
                      <w:bCs w:val="0"/>
                      <w:color w:val="auto"/>
                      <w:sz w:val="21"/>
                      <w:szCs w:val="21"/>
                      <w:lang w:val="en-US" w:eastAsia="zh-CN"/>
                    </w:rPr>
                    <w:t>厂区</w:t>
                  </w:r>
                </w:p>
              </w:tc>
              <w:tc>
                <w:tcPr>
                  <w:tcW w:w="262" w:type="pct"/>
                  <w:vAlign w:val="center"/>
                </w:tcPr>
                <w:p>
                  <w:pPr>
                    <w:pStyle w:val="68"/>
                    <w:jc w:val="center"/>
                    <w:rPr>
                      <w:rFonts w:hint="eastAsia" w:ascii="Times New Roman" w:hAnsi="Times New Roman" w:eastAsia="宋体" w:cs="Times New Roman"/>
                      <w:b w:val="0"/>
                      <w:bCs w:val="0"/>
                      <w:kern w:val="2"/>
                      <w:sz w:val="21"/>
                      <w:szCs w:val="21"/>
                      <w:lang w:val="en-US" w:eastAsia="zh-CN" w:bidi="ar-SA"/>
                    </w:rPr>
                  </w:pPr>
                </w:p>
              </w:tc>
              <w:tc>
                <w:tcPr>
                  <w:tcW w:w="740" w:type="pct"/>
                  <w:vAlign w:val="center"/>
                </w:tcPr>
                <w:p>
                  <w:pPr>
                    <w:pStyle w:val="68"/>
                    <w:jc w:val="center"/>
                    <w:rPr>
                      <w:rFonts w:hint="eastAsia"/>
                      <w:b w:val="0"/>
                      <w:bCs w:val="0"/>
                      <w:sz w:val="21"/>
                      <w:szCs w:val="21"/>
                    </w:rPr>
                  </w:pPr>
                  <w:r>
                    <w:rPr>
                      <w:rFonts w:hint="eastAsia"/>
                      <w:b w:val="0"/>
                      <w:bCs w:val="0"/>
                      <w:color w:val="auto"/>
                      <w:sz w:val="21"/>
                      <w:szCs w:val="21"/>
                      <w:lang w:val="en-US" w:eastAsia="zh-CN"/>
                    </w:rPr>
                    <w:t>《铸造工业大气污染物排放标准》（</w:t>
                  </w:r>
                  <w:r>
                    <w:rPr>
                      <w:rFonts w:hint="default"/>
                      <w:b w:val="0"/>
                      <w:bCs w:val="0"/>
                      <w:color w:val="auto"/>
                      <w:sz w:val="21"/>
                      <w:szCs w:val="21"/>
                      <w:lang w:val="en-US" w:eastAsia="zh-CN"/>
                    </w:rPr>
                    <w:t>GB39726-2020</w:t>
                  </w:r>
                  <w:r>
                    <w:rPr>
                      <w:rFonts w:hint="eastAsia"/>
                      <w:b w:val="0"/>
                      <w:bCs w:val="0"/>
                      <w:color w:val="auto"/>
                      <w:sz w:val="21"/>
                      <w:szCs w:val="21"/>
                      <w:lang w:val="en-US" w:eastAsia="zh-CN"/>
                    </w:rPr>
                    <w:t>）</w:t>
                  </w:r>
                </w:p>
              </w:tc>
              <w:tc>
                <w:tcPr>
                  <w:tcW w:w="321" w:type="pct"/>
                  <w:vAlign w:val="center"/>
                </w:tcPr>
                <w:p>
                  <w:pPr>
                    <w:pStyle w:val="68"/>
                    <w:jc w:val="center"/>
                    <w:rPr>
                      <w:b w:val="0"/>
                      <w:bCs w:val="0"/>
                      <w:sz w:val="21"/>
                      <w:szCs w:val="21"/>
                    </w:rPr>
                  </w:pPr>
                </w:p>
              </w:tc>
              <w:tc>
                <w:tcPr>
                  <w:tcW w:w="238" w:type="pct"/>
                  <w:vAlign w:val="center"/>
                </w:tcPr>
                <w:p>
                  <w:pPr>
                    <w:pStyle w:val="68"/>
                    <w:jc w:val="center"/>
                    <w:rPr>
                      <w:rFonts w:hint="eastAsia" w:ascii="Times New Roman" w:hAnsi="Times New Roman" w:eastAsia="宋体" w:cs="Times New Roman"/>
                      <w:b w:val="0"/>
                      <w:bCs w:val="0"/>
                      <w:kern w:val="2"/>
                      <w:sz w:val="21"/>
                      <w:szCs w:val="21"/>
                      <w:lang w:val="en-US" w:eastAsia="zh-CN" w:bidi="ar-SA"/>
                    </w:rPr>
                  </w:pPr>
                </w:p>
              </w:tc>
              <w:tc>
                <w:tcPr>
                  <w:tcW w:w="243" w:type="pct"/>
                  <w:vAlign w:val="center"/>
                </w:tcPr>
                <w:p>
                  <w:pPr>
                    <w:pStyle w:val="68"/>
                    <w:jc w:val="center"/>
                    <w:rPr>
                      <w:rFonts w:hint="default" w:eastAsia="宋体"/>
                      <w:b w:val="0"/>
                      <w:bCs w:val="0"/>
                      <w:sz w:val="21"/>
                      <w:szCs w:val="21"/>
                      <w:lang w:val="en-US" w:eastAsia="zh-CN"/>
                    </w:rPr>
                  </w:pPr>
                </w:p>
              </w:tc>
              <w:tc>
                <w:tcPr>
                  <w:tcW w:w="314" w:type="pct"/>
                  <w:vAlign w:val="center"/>
                </w:tcPr>
                <w:p>
                  <w:pPr>
                    <w:pStyle w:val="68"/>
                    <w:jc w:val="center"/>
                    <w:rPr>
                      <w:rFonts w:hint="eastAsia" w:ascii="Times New Roman" w:hAnsi="Times New Roman" w:eastAsia="宋体" w:cs="Times New Roman"/>
                      <w:b w:val="0"/>
                      <w:bCs w:val="0"/>
                      <w:kern w:val="2"/>
                      <w:sz w:val="21"/>
                      <w:szCs w:val="21"/>
                      <w:lang w:val="en-US" w:eastAsia="zh-CN" w:bidi="ar-SA"/>
                    </w:rPr>
                  </w:pPr>
                </w:p>
              </w:tc>
              <w:tc>
                <w:tcPr>
                  <w:tcW w:w="460" w:type="pct"/>
                  <w:vAlign w:val="center"/>
                </w:tcPr>
                <w:p>
                  <w:pPr>
                    <w:pStyle w:val="68"/>
                    <w:ind w:left="-105" w:leftChars="-50" w:right="-105" w:rightChars="-50"/>
                    <w:jc w:val="center"/>
                    <w:rPr>
                      <w:b w:val="0"/>
                      <w:bCs w:val="0"/>
                      <w:sz w:val="21"/>
                      <w:szCs w:val="21"/>
                    </w:rPr>
                  </w:pPr>
                </w:p>
              </w:tc>
              <w:tc>
                <w:tcPr>
                  <w:tcW w:w="460" w:type="pct"/>
                  <w:vAlign w:val="center"/>
                </w:tcPr>
                <w:p>
                  <w:pPr>
                    <w:pStyle w:val="68"/>
                    <w:ind w:left="-105" w:leftChars="-50" w:right="-105" w:rightChars="-50"/>
                    <w:jc w:val="center"/>
                    <w:rPr>
                      <w:b w:val="0"/>
                      <w:bCs w:val="0"/>
                      <w:sz w:val="21"/>
                      <w:szCs w:val="21"/>
                    </w:rPr>
                  </w:pPr>
                </w:p>
              </w:tc>
              <w:tc>
                <w:tcPr>
                  <w:tcW w:w="495" w:type="pct"/>
                  <w:vAlign w:val="center"/>
                </w:tcPr>
                <w:p>
                  <w:pPr>
                    <w:jc w:val="center"/>
                    <w:rPr>
                      <w:rFonts w:hint="default"/>
                      <w:vertAlign w:val="baseline"/>
                      <w:lang w:val="en-US" w:eastAsia="zh-CN"/>
                    </w:rPr>
                  </w:pPr>
                  <w:r>
                    <w:rPr>
                      <w:rFonts w:hint="eastAsia"/>
                      <w:vertAlign w:val="baseline"/>
                      <w:lang w:val="en-US" w:eastAsia="zh-CN"/>
                    </w:rPr>
                    <w:t>颗粒物</w:t>
                  </w:r>
                </w:p>
              </w:tc>
              <w:tc>
                <w:tcPr>
                  <w:tcW w:w="752" w:type="pct"/>
                  <w:vAlign w:val="center"/>
                </w:tcPr>
                <w:p>
                  <w:pPr>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97" w:type="pct"/>
                  <w:vAlign w:val="center"/>
                </w:tcPr>
                <w:p>
                  <w:pPr>
                    <w:pStyle w:val="68"/>
                    <w:jc w:val="center"/>
                    <w:rPr>
                      <w:rFonts w:hint="eastAsia" w:eastAsia="宋体"/>
                      <w:b w:val="0"/>
                      <w:bCs w:val="0"/>
                      <w:sz w:val="21"/>
                      <w:szCs w:val="21"/>
                      <w:lang w:val="en-US" w:eastAsia="zh-CN"/>
                    </w:rPr>
                  </w:pPr>
                </w:p>
              </w:tc>
              <w:tc>
                <w:tcPr>
                  <w:tcW w:w="312" w:type="pct"/>
                  <w:vAlign w:val="center"/>
                </w:tcPr>
                <w:p>
                  <w:pPr>
                    <w:pStyle w:val="68"/>
                    <w:jc w:val="center"/>
                    <w:rPr>
                      <w:rFonts w:hint="default"/>
                      <w:b w:val="0"/>
                      <w:bCs w:val="0"/>
                      <w:color w:val="auto"/>
                      <w:sz w:val="21"/>
                      <w:szCs w:val="21"/>
                      <w:lang w:val="en-US" w:eastAsia="zh-CN"/>
                    </w:rPr>
                  </w:pPr>
                  <w:r>
                    <w:rPr>
                      <w:rFonts w:hint="eastAsia"/>
                      <w:b w:val="0"/>
                      <w:bCs w:val="0"/>
                      <w:sz w:val="21"/>
                      <w:szCs w:val="21"/>
                      <w:lang w:val="en-US" w:eastAsia="zh-CN"/>
                    </w:rPr>
                    <w:t>厂界</w:t>
                  </w:r>
                </w:p>
              </w:tc>
              <w:tc>
                <w:tcPr>
                  <w:tcW w:w="262" w:type="pct"/>
                  <w:vAlign w:val="center"/>
                </w:tcPr>
                <w:p>
                  <w:pPr>
                    <w:pStyle w:val="68"/>
                    <w:jc w:val="center"/>
                    <w:rPr>
                      <w:rFonts w:hint="eastAsia"/>
                      <w:b w:val="0"/>
                      <w:bCs w:val="0"/>
                      <w:color w:val="auto"/>
                      <w:sz w:val="21"/>
                      <w:szCs w:val="21"/>
                      <w:lang w:val="en-US" w:eastAsia="zh-CN"/>
                    </w:rPr>
                  </w:pPr>
                </w:p>
              </w:tc>
              <w:tc>
                <w:tcPr>
                  <w:tcW w:w="740" w:type="pct"/>
                  <w:vAlign w:val="center"/>
                </w:tcPr>
                <w:p>
                  <w:pPr>
                    <w:pStyle w:val="68"/>
                    <w:jc w:val="center"/>
                    <w:rPr>
                      <w:rFonts w:hint="eastAsia"/>
                      <w:b w:val="0"/>
                      <w:bCs w:val="0"/>
                      <w:color w:val="auto"/>
                      <w:sz w:val="21"/>
                      <w:szCs w:val="21"/>
                      <w:lang w:val="en-US" w:eastAsia="zh-CN"/>
                    </w:rPr>
                  </w:pPr>
                  <w:r>
                    <w:rPr>
                      <w:rFonts w:hint="eastAsia"/>
                      <w:b w:val="0"/>
                      <w:bCs w:val="0"/>
                      <w:color w:val="auto"/>
                      <w:sz w:val="21"/>
                      <w:szCs w:val="21"/>
                      <w:lang w:val="en-US" w:eastAsia="zh-CN"/>
                    </w:rPr>
                    <w:t>《恶臭污染物排放标准》（GB14554-93）</w:t>
                  </w:r>
                </w:p>
              </w:tc>
              <w:tc>
                <w:tcPr>
                  <w:tcW w:w="321" w:type="pct"/>
                  <w:vAlign w:val="center"/>
                </w:tcPr>
                <w:p>
                  <w:pPr>
                    <w:pStyle w:val="68"/>
                    <w:jc w:val="center"/>
                    <w:rPr>
                      <w:rFonts w:hint="eastAsia"/>
                      <w:b w:val="0"/>
                      <w:bCs w:val="0"/>
                      <w:color w:val="auto"/>
                      <w:sz w:val="21"/>
                      <w:szCs w:val="21"/>
                      <w:lang w:val="en-US" w:eastAsia="zh-CN"/>
                    </w:rPr>
                  </w:pPr>
                </w:p>
              </w:tc>
              <w:tc>
                <w:tcPr>
                  <w:tcW w:w="238" w:type="pct"/>
                  <w:vAlign w:val="center"/>
                </w:tcPr>
                <w:p>
                  <w:pPr>
                    <w:pStyle w:val="68"/>
                    <w:jc w:val="center"/>
                    <w:rPr>
                      <w:rFonts w:hint="eastAsia"/>
                      <w:b w:val="0"/>
                      <w:bCs w:val="0"/>
                      <w:color w:val="auto"/>
                      <w:sz w:val="21"/>
                      <w:szCs w:val="21"/>
                      <w:lang w:val="en-US" w:eastAsia="zh-CN"/>
                    </w:rPr>
                  </w:pPr>
                </w:p>
              </w:tc>
              <w:tc>
                <w:tcPr>
                  <w:tcW w:w="243" w:type="pct"/>
                  <w:vAlign w:val="center"/>
                </w:tcPr>
                <w:p>
                  <w:pPr>
                    <w:pStyle w:val="68"/>
                    <w:jc w:val="center"/>
                    <w:rPr>
                      <w:rFonts w:hint="default"/>
                      <w:b w:val="0"/>
                      <w:bCs w:val="0"/>
                      <w:color w:val="auto"/>
                      <w:sz w:val="21"/>
                      <w:szCs w:val="21"/>
                      <w:lang w:val="en-US" w:eastAsia="zh-CN"/>
                    </w:rPr>
                  </w:pPr>
                </w:p>
              </w:tc>
              <w:tc>
                <w:tcPr>
                  <w:tcW w:w="314" w:type="pct"/>
                  <w:vAlign w:val="center"/>
                </w:tcPr>
                <w:p>
                  <w:pPr>
                    <w:pStyle w:val="68"/>
                    <w:jc w:val="center"/>
                    <w:rPr>
                      <w:rFonts w:hint="eastAsia"/>
                      <w:b w:val="0"/>
                      <w:bCs w:val="0"/>
                      <w:color w:val="auto"/>
                      <w:sz w:val="21"/>
                      <w:szCs w:val="21"/>
                      <w:lang w:val="en-US" w:eastAsia="zh-CN"/>
                    </w:rPr>
                  </w:pPr>
                </w:p>
              </w:tc>
              <w:tc>
                <w:tcPr>
                  <w:tcW w:w="460" w:type="pct"/>
                  <w:vAlign w:val="center"/>
                </w:tcPr>
                <w:p>
                  <w:pPr>
                    <w:pStyle w:val="68"/>
                    <w:jc w:val="center"/>
                    <w:rPr>
                      <w:rFonts w:hint="eastAsia"/>
                      <w:b w:val="0"/>
                      <w:bCs w:val="0"/>
                      <w:color w:val="auto"/>
                      <w:sz w:val="21"/>
                      <w:szCs w:val="21"/>
                      <w:lang w:val="en-US" w:eastAsia="zh-CN"/>
                    </w:rPr>
                  </w:pPr>
                </w:p>
              </w:tc>
              <w:tc>
                <w:tcPr>
                  <w:tcW w:w="460" w:type="pct"/>
                  <w:vAlign w:val="center"/>
                </w:tcPr>
                <w:p>
                  <w:pPr>
                    <w:pStyle w:val="68"/>
                    <w:jc w:val="center"/>
                    <w:rPr>
                      <w:rFonts w:hint="eastAsia"/>
                      <w:b w:val="0"/>
                      <w:bCs w:val="0"/>
                      <w:color w:val="auto"/>
                      <w:sz w:val="21"/>
                      <w:szCs w:val="21"/>
                      <w:lang w:val="en-US" w:eastAsia="zh-CN"/>
                    </w:rPr>
                  </w:pPr>
                </w:p>
              </w:tc>
              <w:tc>
                <w:tcPr>
                  <w:tcW w:w="495" w:type="pct"/>
                  <w:vAlign w:val="center"/>
                </w:tcPr>
                <w:p>
                  <w:pPr>
                    <w:jc w:val="center"/>
                    <w:rPr>
                      <w:rFonts w:hint="eastAsia"/>
                      <w:vertAlign w:val="baseline"/>
                      <w:lang w:val="en-US" w:eastAsia="zh-CN"/>
                    </w:rPr>
                  </w:pPr>
                  <w:r>
                    <w:rPr>
                      <w:rFonts w:hint="eastAsia"/>
                      <w:vertAlign w:val="baseline"/>
                      <w:lang w:val="en-US" w:eastAsia="zh-CN"/>
                    </w:rPr>
                    <w:t>臭气浓度</w:t>
                  </w:r>
                </w:p>
              </w:tc>
              <w:tc>
                <w:tcPr>
                  <w:tcW w:w="752" w:type="pct"/>
                  <w:vAlign w:val="center"/>
                </w:tcPr>
                <w:p>
                  <w:pPr>
                    <w:jc w:val="center"/>
                    <w:rPr>
                      <w:rFonts w:hint="eastAsia"/>
                      <w:vertAlign w:val="baseline"/>
                      <w:lang w:val="en-US" w:eastAsia="zh-CN"/>
                    </w:rPr>
                  </w:pPr>
                  <w:r>
                    <w:rPr>
                      <w:rFonts w:hint="eastAsia"/>
                      <w:vertAlign w:val="baseline"/>
                      <w:lang w:val="en-US" w:eastAsia="zh-CN"/>
                    </w:rPr>
                    <w:t>1次/年</w:t>
                  </w:r>
                </w:p>
              </w:tc>
            </w:tr>
          </w:tbl>
          <w:p>
            <w:pPr>
              <w:pStyle w:val="12"/>
              <w:keepNext w:val="0"/>
              <w:keepLines w:val="0"/>
              <w:pageBreakBefore w:val="0"/>
              <w:widowControl w:val="0"/>
              <w:kinsoku/>
              <w:wordWrap/>
              <w:overflowPunct/>
              <w:topLinePunct w:val="0"/>
              <w:autoSpaceDE/>
              <w:autoSpaceDN/>
              <w:bidi w:val="0"/>
              <w:adjustRightInd w:val="0"/>
              <w:snapToGrid w:val="0"/>
              <w:spacing w:line="40" w:lineRule="exact"/>
              <w:ind w:left="0" w:leftChars="0" w:firstLine="0" w:firstLineChars="0"/>
              <w:textAlignment w:val="auto"/>
              <w:rPr>
                <w:rFonts w:hint="eastAsia"/>
                <w:vertAlign w:val="baseline"/>
              </w:rPr>
            </w:pPr>
          </w:p>
          <w:p>
            <w:pPr>
              <w:pStyle w:val="12"/>
              <w:keepNext w:val="0"/>
              <w:keepLines w:val="0"/>
              <w:pageBreakBefore w:val="0"/>
              <w:widowControl w:val="0"/>
              <w:kinsoku/>
              <w:wordWrap/>
              <w:overflowPunct/>
              <w:topLinePunct w:val="0"/>
              <w:autoSpaceDE/>
              <w:autoSpaceDN/>
              <w:bidi w:val="0"/>
              <w:adjustRightInd w:val="0"/>
              <w:snapToGrid w:val="0"/>
              <w:spacing w:line="40" w:lineRule="exact"/>
              <w:textAlignment w:val="auto"/>
              <w:rPr>
                <w:rFonts w:hint="eastAsia"/>
                <w:vertAlign w:val="baseline"/>
              </w:rPr>
            </w:pPr>
          </w:p>
          <w:p>
            <w:pPr>
              <w:pStyle w:val="12"/>
              <w:keepNext w:val="0"/>
              <w:keepLines w:val="0"/>
              <w:pageBreakBefore w:val="0"/>
              <w:widowControl w:val="0"/>
              <w:kinsoku/>
              <w:wordWrap/>
              <w:overflowPunct/>
              <w:topLinePunct w:val="0"/>
              <w:autoSpaceDE/>
              <w:autoSpaceDN/>
              <w:bidi w:val="0"/>
              <w:adjustRightInd w:val="0"/>
              <w:snapToGrid w:val="0"/>
              <w:spacing w:line="40" w:lineRule="exact"/>
              <w:textAlignment w:val="auto"/>
              <w:rPr>
                <w:rFonts w:hint="eastAsia"/>
                <w:vertAlign w:val="baseline"/>
              </w:rPr>
            </w:pPr>
          </w:p>
          <w:p>
            <w:pPr>
              <w:pStyle w:val="12"/>
              <w:keepNext w:val="0"/>
              <w:keepLines w:val="0"/>
              <w:pageBreakBefore w:val="0"/>
              <w:widowControl w:val="0"/>
              <w:kinsoku/>
              <w:wordWrap/>
              <w:overflowPunct/>
              <w:topLinePunct w:val="0"/>
              <w:autoSpaceDE/>
              <w:autoSpaceDN/>
              <w:bidi w:val="0"/>
              <w:adjustRightInd w:val="0"/>
              <w:snapToGrid w:val="0"/>
              <w:spacing w:line="40" w:lineRule="exact"/>
              <w:textAlignment w:val="auto"/>
              <w:rPr>
                <w:rFonts w:hint="eastAsia"/>
                <w:vertAlign w:val="baseline"/>
              </w:rPr>
            </w:pPr>
          </w:p>
          <w:p>
            <w:pPr>
              <w:pStyle w:val="12"/>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eastAsia"/>
                <w:vertAlign w:val="baseline"/>
              </w:rPr>
            </w:pPr>
          </w:p>
        </w:tc>
      </w:tr>
    </w:tbl>
    <w:p>
      <w:pPr>
        <w:pStyle w:val="12"/>
        <w:rPr>
          <w:rFonts w:hint="eastAsia"/>
        </w:rPr>
        <w:sectPr>
          <w:pgSz w:w="16838" w:h="11906" w:orient="landscape"/>
          <w:pgMar w:top="1134" w:right="1134" w:bottom="1134" w:left="1134" w:header="851" w:footer="850" w:gutter="0"/>
          <w:pgBorders>
            <w:top w:val="none" w:sz="0" w:space="0"/>
            <w:left w:val="none" w:sz="0" w:space="0"/>
            <w:bottom w:val="none" w:sz="0" w:space="0"/>
            <w:right w:val="none" w:sz="0" w:space="0"/>
          </w:pgBorders>
          <w:pgNumType w:fmt="numberInDash"/>
          <w:cols w:space="720" w:num="1"/>
          <w:rtlGutter w:val="0"/>
          <w:docGrid w:type="lines" w:linePitch="312" w:charSpace="0"/>
        </w:sectPr>
      </w:pPr>
    </w:p>
    <w:tbl>
      <w:tblPr>
        <w:tblStyle w:val="2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71" w:hRule="atLeast"/>
          <w:jc w:val="center"/>
        </w:trPr>
        <w:tc>
          <w:tcPr>
            <w:tcW w:w="746" w:type="dxa"/>
            <w:noWrap w:val="0"/>
            <w:tcMar>
              <w:left w:w="28" w:type="dxa"/>
              <w:right w:w="28" w:type="dxa"/>
            </w:tcMar>
            <w:vAlign w:val="center"/>
          </w:tcPr>
          <w:p>
            <w:pPr>
              <w:pageBreakBefore w:val="0"/>
              <w:kinsoku/>
              <w:wordWrap/>
              <w:overflowPunct/>
              <w:topLinePunct w:val="0"/>
              <w:autoSpaceDE/>
              <w:bidi w:val="0"/>
              <w:adjustRightInd w:val="0"/>
              <w:snapToGrid w:val="0"/>
              <w:spacing w:before="20"/>
              <w:jc w:val="center"/>
              <w:rPr>
                <w:rFonts w:hint="eastAsia" w:ascii="宋体" w:hAnsi="宋体" w:cs="宋体"/>
                <w:bCs/>
                <w:color w:val="000000"/>
                <w:szCs w:val="21"/>
              </w:rPr>
            </w:pPr>
            <w:r>
              <w:rPr>
                <w:rFonts w:hint="eastAsia" w:ascii="宋体" w:hAnsi="宋体" w:cs="宋体"/>
                <w:bCs/>
                <w:color w:val="000000"/>
                <w:szCs w:val="21"/>
              </w:rPr>
              <w:t>运营</w:t>
            </w:r>
          </w:p>
          <w:p>
            <w:pPr>
              <w:pageBreakBefore w:val="0"/>
              <w:kinsoku/>
              <w:wordWrap/>
              <w:overflowPunct/>
              <w:topLinePunct w:val="0"/>
              <w:autoSpaceDE/>
              <w:bidi w:val="0"/>
              <w:adjustRightInd w:val="0"/>
              <w:snapToGrid w:val="0"/>
              <w:spacing w:before="20"/>
              <w:jc w:val="center"/>
              <w:rPr>
                <w:rFonts w:hint="eastAsia" w:ascii="宋体" w:hAnsi="宋体" w:cs="宋体"/>
                <w:bCs/>
                <w:color w:val="000000"/>
                <w:szCs w:val="21"/>
              </w:rPr>
            </w:pPr>
            <w:r>
              <w:rPr>
                <w:rFonts w:hint="eastAsia" w:ascii="宋体" w:hAnsi="宋体" w:cs="宋体"/>
                <w:bCs/>
                <w:color w:val="000000"/>
                <w:szCs w:val="21"/>
              </w:rPr>
              <w:t>期环</w:t>
            </w:r>
          </w:p>
          <w:p>
            <w:pPr>
              <w:pageBreakBefore w:val="0"/>
              <w:kinsoku/>
              <w:wordWrap/>
              <w:overflowPunct/>
              <w:topLinePunct w:val="0"/>
              <w:autoSpaceDE/>
              <w:bidi w:val="0"/>
              <w:adjustRightInd w:val="0"/>
              <w:snapToGrid w:val="0"/>
              <w:spacing w:before="20"/>
              <w:jc w:val="center"/>
              <w:rPr>
                <w:rFonts w:hint="eastAsia" w:ascii="宋体" w:hAnsi="宋体" w:cs="宋体"/>
                <w:bCs/>
                <w:color w:val="000000"/>
                <w:szCs w:val="21"/>
              </w:rPr>
            </w:pPr>
            <w:r>
              <w:rPr>
                <w:rFonts w:hint="eastAsia" w:ascii="宋体" w:hAnsi="宋体" w:cs="宋体"/>
                <w:bCs/>
                <w:color w:val="000000"/>
                <w:szCs w:val="21"/>
              </w:rPr>
              <w:t>境影</w:t>
            </w:r>
          </w:p>
          <w:p>
            <w:pPr>
              <w:pageBreakBefore w:val="0"/>
              <w:kinsoku/>
              <w:wordWrap/>
              <w:overflowPunct/>
              <w:topLinePunct w:val="0"/>
              <w:autoSpaceDE/>
              <w:bidi w:val="0"/>
              <w:adjustRightInd w:val="0"/>
              <w:snapToGrid w:val="0"/>
              <w:spacing w:before="20"/>
              <w:jc w:val="center"/>
              <w:rPr>
                <w:rFonts w:hint="eastAsia" w:ascii="宋体" w:hAnsi="宋体" w:cs="宋体"/>
                <w:bCs/>
                <w:color w:val="000000"/>
                <w:szCs w:val="21"/>
              </w:rPr>
            </w:pPr>
            <w:r>
              <w:rPr>
                <w:rFonts w:hint="eastAsia" w:ascii="宋体" w:hAnsi="宋体" w:cs="宋体"/>
                <w:bCs/>
                <w:color w:val="000000"/>
                <w:szCs w:val="21"/>
              </w:rPr>
              <w:t>响和</w:t>
            </w:r>
          </w:p>
          <w:p>
            <w:pPr>
              <w:pageBreakBefore w:val="0"/>
              <w:kinsoku/>
              <w:wordWrap/>
              <w:overflowPunct/>
              <w:topLinePunct w:val="0"/>
              <w:autoSpaceDE/>
              <w:bidi w:val="0"/>
              <w:adjustRightInd w:val="0"/>
              <w:snapToGrid w:val="0"/>
              <w:spacing w:before="20"/>
              <w:jc w:val="center"/>
              <w:rPr>
                <w:rFonts w:hint="eastAsia" w:ascii="宋体" w:hAnsi="宋体" w:cs="宋体"/>
                <w:bCs/>
                <w:color w:val="000000"/>
                <w:szCs w:val="21"/>
              </w:rPr>
            </w:pPr>
            <w:r>
              <w:rPr>
                <w:rFonts w:hint="eastAsia" w:ascii="宋体" w:hAnsi="宋体" w:cs="宋体"/>
                <w:bCs/>
                <w:color w:val="000000"/>
                <w:szCs w:val="21"/>
              </w:rPr>
              <w:t>保护</w:t>
            </w:r>
          </w:p>
          <w:p>
            <w:pPr>
              <w:pageBreakBefore w:val="0"/>
              <w:kinsoku/>
              <w:wordWrap/>
              <w:overflowPunct/>
              <w:topLinePunct w:val="0"/>
              <w:autoSpaceDE/>
              <w:bidi w:val="0"/>
              <w:adjustRightInd w:val="0"/>
              <w:snapToGrid w:val="0"/>
              <w:spacing w:before="20"/>
              <w:jc w:val="center"/>
              <w:rPr>
                <w:rFonts w:ascii="宋体" w:hAnsi="宋体" w:cs="宋体"/>
                <w:bCs/>
                <w:color w:val="000000"/>
                <w:szCs w:val="21"/>
              </w:rPr>
            </w:pPr>
            <w:r>
              <w:rPr>
                <w:rFonts w:hint="eastAsia" w:ascii="宋体" w:hAnsi="宋体" w:cs="宋体"/>
                <w:bCs/>
                <w:color w:val="000000"/>
                <w:szCs w:val="21"/>
              </w:rPr>
              <w:t>措施</w:t>
            </w:r>
          </w:p>
        </w:tc>
        <w:tc>
          <w:tcPr>
            <w:tcW w:w="8162" w:type="dxa"/>
            <w:noWrap w:val="0"/>
            <w:vAlign w:val="top"/>
          </w:tcPr>
          <w:p>
            <w:pPr>
              <w:pStyle w:val="41"/>
              <w:bidi w:val="0"/>
              <w:rPr>
                <w:rFonts w:hint="default"/>
                <w:b/>
                <w:bCs/>
                <w:lang w:val="en-US" w:eastAsia="zh-CN"/>
              </w:rPr>
            </w:pPr>
            <w:r>
              <w:rPr>
                <w:rFonts w:hint="eastAsia"/>
                <w:b/>
                <w:bCs/>
                <w:lang w:val="en-US" w:eastAsia="zh-CN"/>
              </w:rPr>
              <w:t>1.1废气污染源强产排情况及处理措施</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74" w:firstLineChars="200"/>
              <w:textAlignment w:val="auto"/>
              <w:rPr>
                <w:rFonts w:ascii="宋体" w:hAnsi="宋体" w:eastAsia="宋体" w:cs="宋体"/>
                <w:b/>
                <w:bCs/>
                <w:sz w:val="24"/>
                <w:szCs w:val="24"/>
              </w:rPr>
            </w:pPr>
            <w:r>
              <w:rPr>
                <w:rFonts w:hint="eastAsia" w:ascii="宋体" w:hAnsi="宋体" w:cs="宋体"/>
                <w:b/>
                <w:bCs/>
                <w:spacing w:val="-2"/>
                <w:sz w:val="24"/>
                <w:szCs w:val="24"/>
                <w:lang w:eastAsia="zh-CN"/>
              </w:rPr>
              <w:t>（</w:t>
            </w:r>
            <w:r>
              <w:rPr>
                <w:rFonts w:hint="eastAsia" w:ascii="宋体" w:hAnsi="宋体" w:cs="宋体"/>
                <w:b/>
                <w:bCs/>
                <w:spacing w:val="-2"/>
                <w:sz w:val="24"/>
                <w:szCs w:val="24"/>
                <w:lang w:val="en-US" w:eastAsia="zh-CN"/>
              </w:rPr>
              <w:t>1</w:t>
            </w:r>
            <w:r>
              <w:rPr>
                <w:rFonts w:hint="eastAsia" w:ascii="宋体" w:hAnsi="宋体" w:cs="宋体"/>
                <w:b/>
                <w:bCs/>
                <w:spacing w:val="-2"/>
                <w:sz w:val="24"/>
                <w:szCs w:val="24"/>
                <w:lang w:eastAsia="zh-CN"/>
              </w:rPr>
              <w:t>）</w:t>
            </w:r>
            <w:r>
              <w:rPr>
                <w:rFonts w:ascii="宋体" w:hAnsi="宋体" w:eastAsia="宋体" w:cs="宋体"/>
                <w:b/>
                <w:bCs/>
                <w:spacing w:val="-2"/>
                <w:sz w:val="24"/>
                <w:szCs w:val="24"/>
              </w:rPr>
              <w:t>熔炼废气</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cs="Times New Roman"/>
                <w:spacing w:val="0"/>
                <w:sz w:val="24"/>
                <w:szCs w:val="24"/>
                <w:lang w:eastAsia="zh-CN"/>
              </w:rPr>
            </w:pPr>
            <w:r>
              <w:rPr>
                <w:rFonts w:hint="default" w:ascii="Times New Roman" w:hAnsi="Times New Roman" w:eastAsia="宋体" w:cs="Times New Roman"/>
                <w:spacing w:val="0"/>
                <w:sz w:val="24"/>
                <w:szCs w:val="24"/>
              </w:rPr>
              <w:t>项目现有1 台 0.75t/h 中频</w:t>
            </w:r>
            <w:r>
              <w:rPr>
                <w:rFonts w:hint="eastAsia" w:cs="Times New Roman"/>
                <w:spacing w:val="0"/>
                <w:sz w:val="24"/>
                <w:szCs w:val="24"/>
                <w:lang w:val="en-US" w:eastAsia="zh-CN"/>
              </w:rPr>
              <w:t>熔炼</w:t>
            </w:r>
            <w:r>
              <w:rPr>
                <w:rFonts w:hint="default" w:ascii="Times New Roman" w:hAnsi="Times New Roman" w:eastAsia="宋体" w:cs="Times New Roman"/>
                <w:spacing w:val="0"/>
                <w:sz w:val="24"/>
                <w:szCs w:val="24"/>
              </w:rPr>
              <w:t>炉，</w:t>
            </w:r>
            <w:r>
              <w:rPr>
                <w:rFonts w:hint="eastAsia" w:cs="Times New Roman"/>
                <w:spacing w:val="0"/>
                <w:sz w:val="24"/>
                <w:szCs w:val="24"/>
                <w:lang w:val="en-US" w:eastAsia="zh-CN"/>
              </w:rPr>
              <w:t>熔炼工段工作时间9h/d，</w:t>
            </w:r>
            <w:r>
              <w:rPr>
                <w:rFonts w:hint="eastAsia" w:ascii="Times New Roman" w:hAnsi="Times New Roman" w:cs="Times New Roman"/>
                <w:spacing w:val="0"/>
                <w:sz w:val="24"/>
                <w:szCs w:val="24"/>
                <w:lang w:val="en-US" w:eastAsia="zh-CN"/>
              </w:rPr>
              <w:t>2700</w:t>
            </w:r>
            <w:r>
              <w:rPr>
                <w:rFonts w:hint="default" w:ascii="Times New Roman" w:hAnsi="Times New Roman" w:eastAsia="宋体" w:cs="Times New Roman"/>
                <w:spacing w:val="0"/>
                <w:sz w:val="24"/>
                <w:szCs w:val="24"/>
              </w:rPr>
              <w:t>h</w:t>
            </w:r>
            <w:r>
              <w:rPr>
                <w:rFonts w:hint="eastAsia" w:cs="Times New Roman"/>
                <w:spacing w:val="0"/>
                <w:sz w:val="24"/>
                <w:szCs w:val="24"/>
                <w:lang w:val="en-US" w:eastAsia="zh-CN"/>
              </w:rPr>
              <w:t>/年</w:t>
            </w:r>
            <w:r>
              <w:rPr>
                <w:rFonts w:hint="default" w:ascii="Times New Roman" w:hAnsi="Times New Roman" w:eastAsia="宋体" w:cs="Times New Roman"/>
                <w:spacing w:val="0"/>
                <w:sz w:val="24"/>
                <w:szCs w:val="24"/>
              </w:rPr>
              <w:t xml:space="preserve"> ，年生产铸件</w:t>
            </w:r>
            <w:r>
              <w:rPr>
                <w:rFonts w:hint="eastAsia" w:ascii="Times New Roman" w:hAnsi="Times New Roman" w:cs="Times New Roman"/>
                <w:spacing w:val="0"/>
                <w:sz w:val="24"/>
                <w:szCs w:val="24"/>
                <w:lang w:val="en-US" w:eastAsia="zh-CN"/>
              </w:rPr>
              <w:t>1900</w:t>
            </w:r>
            <w:r>
              <w:rPr>
                <w:rFonts w:hint="default" w:ascii="Times New Roman" w:hAnsi="Times New Roman" w:eastAsia="宋体" w:cs="Times New Roman"/>
                <w:spacing w:val="0"/>
                <w:sz w:val="24"/>
                <w:szCs w:val="24"/>
              </w:rPr>
              <w:t>吨</w:t>
            </w:r>
            <w:r>
              <w:rPr>
                <w:rFonts w:hint="eastAsia" w:cs="Times New Roman"/>
                <w:spacing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中频炉在熔炼金属时</w:t>
            </w:r>
            <w:r>
              <w:rPr>
                <w:rFonts w:hint="eastAsia" w:cs="Times New Roman"/>
                <w:spacing w:val="0"/>
                <w:sz w:val="24"/>
                <w:szCs w:val="24"/>
                <w:lang w:val="en-US" w:eastAsia="zh-CN"/>
              </w:rPr>
              <w:t>产生烟气，</w:t>
            </w:r>
            <w:r>
              <w:rPr>
                <w:rFonts w:hint="default" w:ascii="Times New Roman" w:hAnsi="Times New Roman" w:eastAsia="宋体" w:cs="Times New Roman"/>
                <w:spacing w:val="0"/>
                <w:sz w:val="24"/>
                <w:szCs w:val="24"/>
              </w:rPr>
              <w:t>主要成分为烟尘</w:t>
            </w:r>
            <w:r>
              <w:rPr>
                <w:rFonts w:hint="eastAsia" w:cs="Times New Roman"/>
                <w:spacing w:val="0"/>
                <w:sz w:val="24"/>
                <w:szCs w:val="24"/>
                <w:lang w:val="en-US" w:eastAsia="zh-CN"/>
              </w:rPr>
              <w:t>颗粒物</w:t>
            </w:r>
            <w:r>
              <w:rPr>
                <w:rFonts w:hint="default" w:ascii="Times New Roman" w:hAnsi="Times New Roman" w:eastAsia="宋体" w:cs="Times New Roman"/>
                <w:spacing w:val="0"/>
                <w:sz w:val="24"/>
                <w:szCs w:val="24"/>
              </w:rPr>
              <w:t>。</w:t>
            </w:r>
            <w:r>
              <w:rPr>
                <w:rFonts w:hint="eastAsia" w:cs="Times New Roman"/>
                <w:spacing w:val="0"/>
                <w:sz w:val="24"/>
                <w:szCs w:val="24"/>
                <w:lang w:val="en-US" w:eastAsia="zh-CN"/>
              </w:rPr>
              <w:t>在进料口打开时（2h/d），烟气溢出。</w:t>
            </w:r>
            <w:r>
              <w:rPr>
                <w:rFonts w:hint="default" w:ascii="Times New Roman" w:hAnsi="Times New Roman" w:eastAsia="宋体" w:cs="Times New Roman"/>
                <w:spacing w:val="0"/>
                <w:sz w:val="24"/>
                <w:szCs w:val="24"/>
              </w:rPr>
              <w:t>污染物源强参照《排放源统计调查产排污核算方法和系数手册》中《33- 37，431-434  机械行业系数手册》中</w:t>
            </w:r>
            <w:r>
              <w:rPr>
                <w:rFonts w:hint="eastAsia" w:ascii="Times New Roman" w:hAnsi="Times New Roman" w:cs="Times New Roman"/>
                <w:spacing w:val="0"/>
                <w:sz w:val="24"/>
                <w:szCs w:val="24"/>
                <w:lang w:eastAsia="zh-CN"/>
              </w:rPr>
              <w:t>“</w:t>
            </w:r>
            <w:r>
              <w:rPr>
                <w:rFonts w:hint="default" w:ascii="Times New Roman" w:hAnsi="Times New Roman" w:eastAsia="宋体" w:cs="Times New Roman"/>
                <w:spacing w:val="0"/>
                <w:sz w:val="24"/>
                <w:szCs w:val="24"/>
              </w:rPr>
              <w:t>铸造-熔炼(感应电炉/电阻炉及其他)</w:t>
            </w:r>
            <w:r>
              <w:rPr>
                <w:rFonts w:hint="eastAsia" w:ascii="Times New Roman" w:hAnsi="Times New Roman" w:cs="Times New Roman"/>
                <w:spacing w:val="0"/>
                <w:sz w:val="24"/>
                <w:szCs w:val="24"/>
                <w:lang w:eastAsia="zh-CN"/>
              </w:rPr>
              <w:t>”</w:t>
            </w:r>
            <w:r>
              <w:rPr>
                <w:rFonts w:hint="default" w:ascii="Times New Roman" w:hAnsi="Times New Roman" w:eastAsia="宋体" w:cs="Times New Roman"/>
                <w:spacing w:val="0"/>
                <w:sz w:val="24"/>
                <w:szCs w:val="24"/>
              </w:rPr>
              <w:t>排污系数， 颗粒物产污系数为 0.479kg/t-产品， 则熔炼过程颗粒物产生量为</w:t>
            </w:r>
            <w:r>
              <w:rPr>
                <w:rFonts w:hint="eastAsia" w:ascii="Times New Roman" w:hAnsi="Times New Roman" w:cs="Times New Roman"/>
                <w:spacing w:val="0"/>
                <w:sz w:val="24"/>
                <w:szCs w:val="24"/>
                <w:lang w:val="en-US" w:eastAsia="zh-CN"/>
              </w:rPr>
              <w:t xml:space="preserve">0.91 </w:t>
            </w:r>
            <w:r>
              <w:rPr>
                <w:rFonts w:hint="default" w:ascii="Times New Roman" w:hAnsi="Times New Roman" w:eastAsia="宋体" w:cs="Times New Roman"/>
                <w:spacing w:val="0"/>
                <w:sz w:val="24"/>
                <w:szCs w:val="24"/>
              </w:rPr>
              <w:t>t/a。</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spacing w:val="0"/>
                <w:sz w:val="24"/>
                <w:szCs w:val="24"/>
              </w:rPr>
            </w:pPr>
            <w:r>
              <w:rPr>
                <w:rFonts w:hint="default" w:ascii="Times New Roman" w:hAnsi="Times New Roman" w:eastAsia="宋体" w:cs="Times New Roman"/>
                <w:b/>
                <w:bCs/>
                <w:spacing w:val="0"/>
                <w:sz w:val="24"/>
                <w:szCs w:val="24"/>
              </w:rPr>
              <w:t>风量核算：</w:t>
            </w:r>
            <w:r>
              <w:rPr>
                <w:rFonts w:hint="default" w:ascii="Times New Roman" w:hAnsi="Times New Roman" w:eastAsia="宋体" w:cs="Times New Roman"/>
                <w:spacing w:val="0"/>
                <w:sz w:val="24"/>
                <w:szCs w:val="24"/>
              </w:rPr>
              <w:t>根据《局部排风设施控制风速检测与评估技术规范》（AQ/T4274-2016），此类型上吸式集气罩收集的粉尘通过处理装置的控制</w:t>
            </w:r>
          </w:p>
          <w:p>
            <w:pPr>
              <w:keepNext w:val="0"/>
              <w:keepLines w:val="0"/>
              <w:pageBreakBefore w:val="0"/>
              <w:widowControl w:val="0"/>
              <w:kinsoku/>
              <w:wordWrap/>
              <w:overflowPunct/>
              <w:topLinePunct w:val="0"/>
              <w:autoSpaceDE/>
              <w:autoSpaceDN/>
              <w:bidi w:val="0"/>
              <w:adjustRightInd w:val="0"/>
              <w:snapToGrid w:val="0"/>
              <w:spacing w:line="360" w:lineRule="auto"/>
              <w:ind w:right="0"/>
              <w:jc w:val="left"/>
              <w:textAlignment w:val="auto"/>
              <w:rPr>
                <w:rFonts w:hint="eastAsia" w:cs="Times New Roman"/>
                <w:spacing w:val="0"/>
                <w:sz w:val="24"/>
                <w:szCs w:val="24"/>
                <w:lang w:val="en-US" w:eastAsia="zh-CN"/>
              </w:rPr>
            </w:pPr>
            <w:r>
              <w:rPr>
                <w:rFonts w:hint="default" w:ascii="Times New Roman" w:hAnsi="Times New Roman" w:eastAsia="宋体" w:cs="Times New Roman"/>
                <w:spacing w:val="0"/>
                <w:sz w:val="24"/>
                <w:szCs w:val="24"/>
              </w:rPr>
              <w:t>风速要在</w:t>
            </w:r>
            <w:r>
              <w:rPr>
                <w:rFonts w:hint="eastAsia" w:cs="Times New Roman"/>
                <w:spacing w:val="0"/>
                <w:sz w:val="24"/>
                <w:szCs w:val="24"/>
                <w:lang w:val="en-US" w:eastAsia="zh-CN"/>
              </w:rPr>
              <w:t xml:space="preserve">1.2 </w:t>
            </w:r>
            <w:r>
              <w:rPr>
                <w:rFonts w:hint="default" w:ascii="Times New Roman" w:hAnsi="Times New Roman" w:eastAsia="宋体" w:cs="Times New Roman"/>
                <w:spacing w:val="0"/>
                <w:sz w:val="24"/>
                <w:szCs w:val="24"/>
              </w:rPr>
              <w:t>m/s以保证收集效率。</w:t>
            </w:r>
            <w:r>
              <w:rPr>
                <w:rFonts w:hint="eastAsia" w:cs="Times New Roman"/>
                <w:spacing w:val="0"/>
                <w:sz w:val="24"/>
                <w:szCs w:val="24"/>
                <w:lang w:val="en-US" w:eastAsia="zh-CN"/>
              </w:rPr>
              <w:t>参照《排风罩的分类及技术条件》（GB/T16758-2008），排风罩的风量按下式计算</w:t>
            </w:r>
          </w:p>
          <w:p>
            <w:pPr>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cs="Times New Roman"/>
                <w:i/>
                <w:iCs/>
                <w:spacing w:val="0"/>
                <w:sz w:val="24"/>
                <w:szCs w:val="24"/>
                <w:lang w:val="en-US" w:eastAsia="zh-CN"/>
              </w:rPr>
            </w:pPr>
            <w:r>
              <w:rPr>
                <w:rFonts w:hint="eastAsia" w:cs="Times New Roman"/>
                <w:i/>
                <w:iCs/>
                <w:spacing w:val="0"/>
                <w:sz w:val="24"/>
                <w:szCs w:val="24"/>
                <w:lang w:val="en-US" w:eastAsia="zh-CN"/>
              </w:rPr>
              <w:t>Q</w:t>
            </w:r>
            <w:r>
              <w:rPr>
                <w:rFonts w:hint="eastAsia" w:cs="Times New Roman"/>
                <w:spacing w:val="0"/>
                <w:sz w:val="24"/>
                <w:szCs w:val="24"/>
                <w:lang w:val="en-US" w:eastAsia="zh-CN"/>
              </w:rPr>
              <w:t>=</w:t>
            </w:r>
            <w:r>
              <w:rPr>
                <w:rFonts w:hint="eastAsia" w:cs="Times New Roman"/>
                <w:i/>
                <w:iCs/>
                <w:spacing w:val="0"/>
                <w:sz w:val="24"/>
                <w:szCs w:val="24"/>
                <w:lang w:val="en-US" w:eastAsia="zh-CN"/>
              </w:rPr>
              <w:t>FV</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1440" w:firstLineChars="600"/>
              <w:jc w:val="both"/>
              <w:textAlignment w:val="auto"/>
              <w:rPr>
                <w:rFonts w:hint="default" w:cs="Times New Roman"/>
                <w:spacing w:val="0"/>
                <w:sz w:val="24"/>
                <w:szCs w:val="24"/>
                <w:lang w:val="en-US" w:eastAsia="zh-CN"/>
              </w:rPr>
            </w:pPr>
            <w:r>
              <w:rPr>
                <w:rFonts w:hint="eastAsia" w:cs="Times New Roman"/>
                <w:i/>
                <w:iCs/>
                <w:spacing w:val="0"/>
                <w:sz w:val="24"/>
                <w:szCs w:val="24"/>
                <w:lang w:val="en-US" w:eastAsia="zh-CN"/>
              </w:rPr>
              <w:t>Q</w:t>
            </w:r>
            <w:r>
              <w:rPr>
                <w:rFonts w:hint="eastAsia" w:cs="Times New Roman"/>
                <w:spacing w:val="0"/>
                <w:sz w:val="24"/>
                <w:szCs w:val="24"/>
                <w:lang w:val="en-US" w:eastAsia="zh-CN"/>
              </w:rPr>
              <w:t>~排风罩的排风量，单位为立方米每秒（m</w:t>
            </w:r>
            <w:r>
              <w:rPr>
                <w:rFonts w:hint="eastAsia" w:cs="Times New Roman"/>
                <w:spacing w:val="0"/>
                <w:sz w:val="24"/>
                <w:szCs w:val="24"/>
                <w:vertAlign w:val="superscript"/>
                <w:lang w:val="en-US" w:eastAsia="zh-CN"/>
              </w:rPr>
              <w:t>3</w:t>
            </w:r>
            <w:r>
              <w:rPr>
                <w:rFonts w:hint="eastAsia" w:cs="Times New Roman"/>
                <w:spacing w:val="0"/>
                <w:sz w:val="24"/>
                <w:szCs w:val="24"/>
                <w:lang w:val="en-US" w:eastAsia="zh-CN"/>
              </w:rPr>
              <w:t>/s）；</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1440" w:firstLineChars="600"/>
              <w:jc w:val="both"/>
              <w:textAlignment w:val="auto"/>
              <w:rPr>
                <w:rFonts w:hint="default" w:cs="Times New Roman"/>
                <w:spacing w:val="0"/>
                <w:sz w:val="24"/>
                <w:szCs w:val="24"/>
                <w:vertAlign w:val="superscript"/>
                <w:lang w:val="en-US" w:eastAsia="zh-CN"/>
              </w:rPr>
            </w:pPr>
            <w:r>
              <w:rPr>
                <w:rFonts w:hint="eastAsia" w:cs="Times New Roman"/>
                <w:i/>
                <w:iCs/>
                <w:spacing w:val="0"/>
                <w:sz w:val="24"/>
                <w:szCs w:val="24"/>
                <w:lang w:val="en-US" w:eastAsia="zh-CN"/>
              </w:rPr>
              <w:t>F</w:t>
            </w:r>
            <w:r>
              <w:rPr>
                <w:rFonts w:hint="eastAsia" w:cs="Times New Roman"/>
                <w:spacing w:val="0"/>
                <w:sz w:val="24"/>
                <w:szCs w:val="24"/>
                <w:lang w:val="en-US" w:eastAsia="zh-CN"/>
              </w:rPr>
              <w:t>~排风罩罩口面积，单位为平方米（m</w:t>
            </w:r>
            <w:r>
              <w:rPr>
                <w:rFonts w:hint="eastAsia" w:cs="Times New Roman"/>
                <w:spacing w:val="0"/>
                <w:sz w:val="24"/>
                <w:szCs w:val="24"/>
                <w:vertAlign w:val="superscript"/>
                <w:lang w:val="en-US" w:eastAsia="zh-CN"/>
              </w:rPr>
              <w:t>2</w:t>
            </w:r>
            <w:r>
              <w:rPr>
                <w:rFonts w:hint="eastAsia" w:cs="Times New Roman"/>
                <w:spacing w:val="0"/>
                <w:sz w:val="24"/>
                <w:szCs w:val="24"/>
                <w:lang w:val="en-US" w:eastAsia="zh-CN"/>
              </w:rPr>
              <w:t>），约1.5m</w:t>
            </w:r>
            <w:r>
              <w:rPr>
                <w:rFonts w:hint="eastAsia" w:cs="Times New Roman"/>
                <w:spacing w:val="0"/>
                <w:sz w:val="24"/>
                <w:szCs w:val="24"/>
                <w:vertAlign w:val="superscript"/>
                <w:lang w:val="en-US" w:eastAsia="zh-CN"/>
              </w:rPr>
              <w:t>3</w:t>
            </w:r>
            <w:r>
              <w:rPr>
                <w:rFonts w:hint="eastAsia" w:cs="Times New Roman"/>
                <w:spacing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1440" w:firstLineChars="600"/>
              <w:jc w:val="both"/>
              <w:textAlignment w:val="auto"/>
              <w:rPr>
                <w:rFonts w:hint="eastAsia" w:cs="Times New Roman"/>
                <w:spacing w:val="0"/>
                <w:sz w:val="24"/>
                <w:szCs w:val="24"/>
                <w:lang w:val="en-US" w:eastAsia="zh-CN"/>
              </w:rPr>
            </w:pPr>
            <w:r>
              <w:rPr>
                <w:rFonts w:hint="eastAsia" w:cs="Times New Roman"/>
                <w:i/>
                <w:iCs/>
                <w:spacing w:val="0"/>
                <w:sz w:val="24"/>
                <w:szCs w:val="24"/>
                <w:lang w:val="en-US" w:eastAsia="zh-CN"/>
              </w:rPr>
              <w:t>V</w:t>
            </w:r>
            <w:r>
              <w:rPr>
                <w:rFonts w:hint="eastAsia" w:cs="Times New Roman"/>
                <w:spacing w:val="0"/>
                <w:sz w:val="24"/>
                <w:szCs w:val="24"/>
                <w:lang w:val="en-US" w:eastAsia="zh-CN"/>
              </w:rPr>
              <w:t>~排风罩罩口平均风速，单位为米每秒（m/s），取1.4</w:t>
            </w:r>
            <w:r>
              <w:rPr>
                <w:rFonts w:hint="default" w:ascii="Times New Roman" w:hAnsi="Times New Roman" w:eastAsia="宋体" w:cs="Times New Roman"/>
                <w:spacing w:val="0"/>
                <w:sz w:val="24"/>
                <w:szCs w:val="24"/>
              </w:rPr>
              <w:t>m/s</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spacing w:val="0"/>
                <w:sz w:val="24"/>
                <w:szCs w:val="24"/>
              </w:rPr>
            </w:pPr>
            <w:r>
              <w:rPr>
                <w:rFonts w:hint="eastAsia" w:ascii="Times New Roman" w:hAnsi="Times New Roman" w:eastAsia="宋体" w:cs="Times New Roman"/>
                <w:spacing w:val="0"/>
                <w:sz w:val="24"/>
                <w:szCs w:val="24"/>
                <w:lang w:val="en-US" w:eastAsia="zh-CN"/>
              </w:rPr>
              <w:t>经计算，集气罩集气风量合计</w:t>
            </w:r>
            <w:r>
              <w:rPr>
                <w:rFonts w:hint="eastAsia" w:cs="Times New Roman"/>
                <w:spacing w:val="0"/>
                <w:sz w:val="24"/>
                <w:szCs w:val="24"/>
                <w:lang w:val="en-US" w:eastAsia="zh-CN"/>
              </w:rPr>
              <w:t>7560</w:t>
            </w:r>
            <w:r>
              <w:rPr>
                <w:rFonts w:hint="default" w:ascii="Times New Roman" w:hAnsi="Times New Roman" w:eastAsia="宋体" w:cs="Times New Roman"/>
                <w:spacing w:val="0"/>
                <w:sz w:val="24"/>
                <w:szCs w:val="24"/>
                <w:lang w:val="en-US" w:eastAsia="zh-CN"/>
              </w:rPr>
              <w:t>m</w:t>
            </w:r>
            <w:r>
              <w:rPr>
                <w:rFonts w:hint="eastAsia" w:cs="Times New Roman"/>
                <w:spacing w:val="0"/>
                <w:sz w:val="24"/>
                <w:szCs w:val="24"/>
                <w:vertAlign w:val="superscript"/>
                <w:lang w:val="en-US" w:eastAsia="zh-CN"/>
              </w:rPr>
              <w:t>2</w:t>
            </w:r>
            <w:r>
              <w:rPr>
                <w:rFonts w:hint="default" w:ascii="Times New Roman" w:hAnsi="Times New Roman" w:eastAsia="宋体" w:cs="Times New Roman"/>
                <w:spacing w:val="0"/>
                <w:sz w:val="24"/>
                <w:szCs w:val="24"/>
                <w:lang w:val="en-US" w:eastAsia="zh-CN"/>
              </w:rPr>
              <w:t xml:space="preserve"> /h</w:t>
            </w:r>
            <w:r>
              <w:rPr>
                <w:rFonts w:hint="eastAsia" w:ascii="Times New Roman" w:hAnsi="Times New Roman" w:eastAsia="宋体" w:cs="Times New Roman"/>
                <w:spacing w:val="0"/>
                <w:sz w:val="24"/>
                <w:szCs w:val="24"/>
                <w:lang w:val="en-US" w:eastAsia="zh-CN"/>
              </w:rPr>
              <w:t>，考虑风量损耗，建议风机风量为</w:t>
            </w:r>
            <w:r>
              <w:rPr>
                <w:rFonts w:hint="default" w:ascii="Times New Roman" w:hAnsi="Times New Roman" w:eastAsia="宋体" w:cs="Times New Roman"/>
                <w:spacing w:val="0"/>
                <w:sz w:val="24"/>
                <w:szCs w:val="24"/>
                <w:lang w:val="en-US" w:eastAsia="zh-CN"/>
              </w:rPr>
              <w:t>8000m</w:t>
            </w:r>
            <w:r>
              <w:rPr>
                <w:rFonts w:hint="default" w:ascii="Times New Roman" w:hAnsi="Times New Roman" w:eastAsia="宋体" w:cs="Times New Roman"/>
                <w:spacing w:val="0"/>
                <w:sz w:val="24"/>
                <w:szCs w:val="24"/>
                <w:vertAlign w:val="superscript"/>
                <w:lang w:val="en-US" w:eastAsia="zh-CN"/>
              </w:rPr>
              <w:t>3</w:t>
            </w:r>
            <w:r>
              <w:rPr>
                <w:rFonts w:hint="default" w:ascii="Times New Roman" w:hAnsi="Times New Roman" w:eastAsia="宋体" w:cs="Times New Roman"/>
                <w:spacing w:val="0"/>
                <w:sz w:val="24"/>
                <w:szCs w:val="24"/>
                <w:lang w:val="en-US" w:eastAsia="zh-CN"/>
              </w:rPr>
              <w:t xml:space="preserve"> /h</w:t>
            </w:r>
            <w:r>
              <w:rPr>
                <w:rFonts w:hint="eastAsia" w:ascii="Times New Roman" w:hAnsi="Times New Roman" w:eastAsia="宋体" w:cs="Times New Roman"/>
                <w:spacing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熔炼废气采用集气罩收集</w:t>
            </w:r>
            <w:r>
              <w:rPr>
                <w:rFonts w:hint="eastAsia" w:cs="Times New Roman"/>
                <w:spacing w:val="0"/>
                <w:sz w:val="24"/>
                <w:szCs w:val="24"/>
                <w:lang w:eastAsia="zh-CN"/>
              </w:rPr>
              <w:t>，</w:t>
            </w:r>
            <w:r>
              <w:rPr>
                <w:rFonts w:hint="default" w:ascii="Times New Roman" w:hAnsi="Times New Roman" w:eastAsia="宋体" w:cs="Times New Roman"/>
                <w:spacing w:val="0"/>
                <w:sz w:val="24"/>
                <w:szCs w:val="24"/>
              </w:rPr>
              <w:t>收集效率 90%，收集的废气经处理效率</w:t>
            </w:r>
            <w:r>
              <w:rPr>
                <w:rFonts w:hint="eastAsia" w:cs="Times New Roman"/>
                <w:spacing w:val="0"/>
                <w:sz w:val="24"/>
                <w:szCs w:val="24"/>
                <w:lang w:val="en-US" w:eastAsia="zh-CN"/>
              </w:rPr>
              <w:t>为</w:t>
            </w:r>
            <w:r>
              <w:rPr>
                <w:rFonts w:hint="default" w:ascii="Times New Roman" w:hAnsi="Times New Roman" w:eastAsia="宋体" w:cs="Times New Roman"/>
                <w:spacing w:val="0"/>
                <w:sz w:val="24"/>
                <w:szCs w:val="24"/>
              </w:rPr>
              <w:t>99%</w:t>
            </w:r>
            <w:r>
              <w:rPr>
                <w:rFonts w:hint="eastAsia" w:cs="Times New Roman"/>
                <w:spacing w:val="0"/>
                <w:sz w:val="24"/>
                <w:szCs w:val="24"/>
                <w:lang w:val="en-US" w:eastAsia="zh-CN"/>
              </w:rPr>
              <w:t>的</w:t>
            </w:r>
            <w:r>
              <w:rPr>
                <w:rFonts w:hint="default" w:ascii="Times New Roman" w:hAnsi="Times New Roman" w:eastAsia="宋体" w:cs="Times New Roman"/>
                <w:spacing w:val="0"/>
                <w:sz w:val="24"/>
                <w:szCs w:val="24"/>
              </w:rPr>
              <w:t>脉冲袋式除尘器</w:t>
            </w:r>
            <w:r>
              <w:rPr>
                <w:rFonts w:hint="eastAsia" w:cs="Times New Roman"/>
                <w:spacing w:val="0"/>
                <w:sz w:val="24"/>
                <w:szCs w:val="24"/>
                <w:lang w:eastAsia="zh-CN"/>
              </w:rPr>
              <w:t>，</w:t>
            </w:r>
            <w:r>
              <w:rPr>
                <w:rFonts w:hint="eastAsia" w:cs="Times New Roman"/>
                <w:spacing w:val="0"/>
                <w:sz w:val="24"/>
                <w:szCs w:val="24"/>
                <w:lang w:val="en-US" w:eastAsia="zh-CN"/>
              </w:rPr>
              <w:t>经</w:t>
            </w:r>
            <w:r>
              <w:rPr>
                <w:rFonts w:hint="default" w:ascii="Times New Roman" w:hAnsi="Times New Roman" w:eastAsia="宋体" w:cs="Times New Roman"/>
                <w:spacing w:val="0"/>
                <w:sz w:val="24"/>
                <w:szCs w:val="24"/>
              </w:rPr>
              <w:t>15m高排气筒排放。</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熔炼废气颗粒物无组织排放量为</w:t>
            </w:r>
            <w:r>
              <w:rPr>
                <w:rFonts w:hint="eastAsia" w:ascii="Times New Roman" w:hAnsi="Times New Roman" w:cs="Times New Roman"/>
                <w:spacing w:val="0"/>
                <w:sz w:val="24"/>
                <w:szCs w:val="24"/>
                <w:lang w:val="en-US" w:eastAsia="zh-CN"/>
              </w:rPr>
              <w:t>0.091</w:t>
            </w:r>
            <w:r>
              <w:rPr>
                <w:rFonts w:hint="default" w:ascii="Times New Roman" w:hAnsi="Times New Roman" w:eastAsia="宋体" w:cs="Times New Roman"/>
                <w:spacing w:val="0"/>
                <w:sz w:val="24"/>
                <w:szCs w:val="24"/>
              </w:rPr>
              <w:t>t/a， 有组织源强为</w:t>
            </w:r>
            <w:r>
              <w:rPr>
                <w:rFonts w:hint="eastAsia" w:ascii="Times New Roman" w:hAnsi="Times New Roman" w:cs="Times New Roman"/>
                <w:spacing w:val="0"/>
                <w:sz w:val="24"/>
                <w:szCs w:val="24"/>
                <w:lang w:val="en-US" w:eastAsia="zh-CN"/>
              </w:rPr>
              <w:t>0.819</w:t>
            </w:r>
            <w:r>
              <w:rPr>
                <w:rFonts w:hint="eastAsia" w:cs="Times New Roman"/>
                <w:spacing w:val="0"/>
                <w:sz w:val="24"/>
                <w:szCs w:val="24"/>
                <w:lang w:val="en-US" w:eastAsia="zh-CN"/>
              </w:rPr>
              <w:t xml:space="preserve"> </w:t>
            </w:r>
            <w:r>
              <w:rPr>
                <w:rFonts w:hint="eastAsia" w:ascii="Times New Roman" w:hAnsi="Times New Roman" w:cs="Times New Roman"/>
                <w:spacing w:val="0"/>
                <w:sz w:val="24"/>
                <w:szCs w:val="24"/>
                <w:lang w:val="en-US" w:eastAsia="zh-CN"/>
              </w:rPr>
              <w:t>t</w:t>
            </w:r>
            <w:r>
              <w:rPr>
                <w:rFonts w:hint="default" w:ascii="Times New Roman" w:hAnsi="Times New Roman" w:eastAsia="宋体" w:cs="Times New Roman"/>
                <w:spacing w:val="0"/>
                <w:sz w:val="24"/>
                <w:szCs w:val="24"/>
              </w:rPr>
              <w:t>/a，有组织排放量为</w:t>
            </w:r>
            <w:r>
              <w:rPr>
                <w:rFonts w:hint="eastAsia" w:ascii="Times New Roman" w:hAnsi="Times New Roman" w:cs="Times New Roman"/>
                <w:spacing w:val="0"/>
                <w:sz w:val="24"/>
                <w:szCs w:val="24"/>
                <w:lang w:val="en-US" w:eastAsia="zh-CN"/>
              </w:rPr>
              <w:t>0.008</w:t>
            </w:r>
            <w:r>
              <w:rPr>
                <w:rFonts w:hint="default" w:ascii="Times New Roman" w:hAnsi="Times New Roman" w:eastAsia="宋体" w:cs="Times New Roman"/>
                <w:spacing w:val="0"/>
                <w:sz w:val="24"/>
                <w:szCs w:val="24"/>
              </w:rPr>
              <w:t>t/a，排放速率为</w:t>
            </w:r>
            <w:r>
              <w:rPr>
                <w:rFonts w:hint="eastAsia" w:cs="Times New Roman"/>
                <w:spacing w:val="0"/>
                <w:sz w:val="24"/>
                <w:szCs w:val="24"/>
                <w:lang w:val="en-US" w:eastAsia="zh-CN"/>
              </w:rPr>
              <w:t>0.013</w:t>
            </w:r>
            <w:r>
              <w:rPr>
                <w:rFonts w:hint="default" w:ascii="Times New Roman" w:hAnsi="Times New Roman" w:eastAsia="宋体" w:cs="Times New Roman"/>
                <w:spacing w:val="0"/>
                <w:sz w:val="24"/>
                <w:szCs w:val="24"/>
              </w:rPr>
              <w:t>kg/h，排放浓度为</w:t>
            </w:r>
            <w:r>
              <w:rPr>
                <w:rFonts w:hint="eastAsia" w:cs="Times New Roman"/>
                <w:spacing w:val="0"/>
                <w:sz w:val="24"/>
                <w:szCs w:val="24"/>
                <w:lang w:val="en-US" w:eastAsia="zh-CN"/>
              </w:rPr>
              <w:t>1.625</w:t>
            </w:r>
            <w:r>
              <w:rPr>
                <w:rFonts w:hint="default" w:ascii="Times New Roman" w:hAnsi="Times New Roman" w:eastAsia="宋体" w:cs="Times New Roman"/>
                <w:spacing w:val="0"/>
                <w:sz w:val="24"/>
                <w:szCs w:val="24"/>
              </w:rPr>
              <w:t>mg/m</w:t>
            </w:r>
            <w:r>
              <w:rPr>
                <w:rFonts w:hint="default" w:ascii="Times New Roman" w:hAnsi="Times New Roman" w:eastAsia="宋体" w:cs="Times New Roman"/>
                <w:spacing w:val="0"/>
                <w:sz w:val="24"/>
                <w:szCs w:val="24"/>
                <w:vertAlign w:val="superscript"/>
              </w:rPr>
              <w:t>3</w:t>
            </w:r>
            <w:r>
              <w:rPr>
                <w:rFonts w:hint="default" w:ascii="Times New Roman" w:hAnsi="Times New Roman" w:eastAsia="宋体" w:cs="Times New Roman"/>
                <w:spacing w:val="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62" w:firstLineChars="200"/>
              <w:textAlignment w:val="auto"/>
              <w:rPr>
                <w:rFonts w:hint="default" w:ascii="Times New Roman" w:hAnsi="Times New Roman" w:eastAsia="宋体" w:cs="Times New Roman"/>
                <w:b/>
                <w:bCs/>
                <w:spacing w:val="-5"/>
                <w:sz w:val="24"/>
                <w:szCs w:val="24"/>
              </w:rPr>
            </w:pPr>
            <w:r>
              <w:rPr>
                <w:rFonts w:hint="default" w:ascii="Times New Roman" w:hAnsi="Times New Roman" w:eastAsia="宋体" w:cs="Times New Roman"/>
                <w:b/>
                <w:bCs/>
                <w:spacing w:val="-5"/>
                <w:sz w:val="24"/>
                <w:szCs w:val="24"/>
                <w:lang w:val="en-US" w:eastAsia="zh-CN"/>
              </w:rPr>
              <w:t>（</w:t>
            </w:r>
            <w:r>
              <w:rPr>
                <w:rFonts w:hint="eastAsia" w:ascii="Times New Roman" w:hAnsi="Times New Roman" w:cs="Times New Roman"/>
                <w:b/>
                <w:bCs/>
                <w:spacing w:val="-5"/>
                <w:sz w:val="24"/>
                <w:szCs w:val="24"/>
                <w:lang w:val="en-US" w:eastAsia="zh-CN"/>
              </w:rPr>
              <w:t>2</w:t>
            </w:r>
            <w:r>
              <w:rPr>
                <w:rFonts w:hint="default" w:ascii="Times New Roman" w:hAnsi="Times New Roman" w:eastAsia="宋体" w:cs="Times New Roman"/>
                <w:b/>
                <w:bCs/>
                <w:spacing w:val="-5"/>
                <w:sz w:val="24"/>
                <w:szCs w:val="24"/>
                <w:lang w:val="en-US" w:eastAsia="zh-CN"/>
              </w:rPr>
              <w:t>）</w:t>
            </w:r>
            <w:r>
              <w:rPr>
                <w:rFonts w:hint="eastAsia" w:cs="Times New Roman"/>
                <w:b/>
                <w:bCs/>
                <w:spacing w:val="-5"/>
                <w:sz w:val="24"/>
                <w:szCs w:val="24"/>
                <w:lang w:eastAsia="zh-CN"/>
              </w:rPr>
              <w:t>浇注、砂处理</w:t>
            </w:r>
            <w:r>
              <w:rPr>
                <w:rFonts w:hint="default" w:ascii="Times New Roman" w:hAnsi="Times New Roman" w:eastAsia="宋体" w:cs="Times New Roman"/>
                <w:b/>
                <w:bCs/>
                <w:spacing w:val="-5"/>
                <w:sz w:val="24"/>
                <w:szCs w:val="24"/>
              </w:rPr>
              <w:t>废气</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62" w:firstLineChars="200"/>
              <w:textAlignment w:val="auto"/>
              <w:rPr>
                <w:rFonts w:hint="default" w:ascii="Times New Roman" w:hAnsi="Times New Roman" w:eastAsia="宋体" w:cs="Times New Roman"/>
                <w:b/>
                <w:bCs/>
                <w:spacing w:val="-5"/>
                <w:sz w:val="24"/>
                <w:szCs w:val="24"/>
              </w:rPr>
            </w:pPr>
            <w:r>
              <w:rPr>
                <w:rFonts w:hint="default" w:ascii="Times New Roman" w:hAnsi="Times New Roman" w:eastAsia="宋体" w:cs="Times New Roman"/>
                <w:b/>
                <w:bCs/>
                <w:spacing w:val="-5"/>
                <w:sz w:val="24"/>
                <w:szCs w:val="24"/>
              </w:rPr>
              <w:t>A 、浇注废气</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cs="Times New Roman"/>
                <w:color w:val="auto"/>
                <w:spacing w:val="0"/>
                <w:sz w:val="24"/>
                <w:szCs w:val="24"/>
                <w:lang w:eastAsia="zh-CN"/>
              </w:rPr>
            </w:pPr>
            <w:r>
              <w:rPr>
                <w:rFonts w:hint="default" w:ascii="Times New Roman" w:hAnsi="Times New Roman" w:eastAsia="宋体" w:cs="Times New Roman"/>
                <w:color w:val="auto"/>
                <w:spacing w:val="0"/>
                <w:sz w:val="24"/>
                <w:szCs w:val="24"/>
              </w:rPr>
              <w:t>在浇注过程中铁水与空气中的氧反应产生颗粒物</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 xml:space="preserve">铸件产量为 </w:t>
            </w:r>
            <w:r>
              <w:rPr>
                <w:rFonts w:hint="eastAsia" w:cs="Times New Roman"/>
                <w:color w:val="auto"/>
                <w:spacing w:val="0"/>
                <w:sz w:val="24"/>
                <w:szCs w:val="24"/>
                <w:lang w:val="en-US" w:eastAsia="zh-CN"/>
              </w:rPr>
              <w:t>19</w:t>
            </w:r>
            <w:r>
              <w:rPr>
                <w:rFonts w:hint="default" w:ascii="Times New Roman" w:hAnsi="Times New Roman" w:eastAsia="宋体" w:cs="Times New Roman"/>
                <w:color w:val="auto"/>
                <w:spacing w:val="0"/>
                <w:sz w:val="24"/>
                <w:szCs w:val="24"/>
              </w:rPr>
              <w:t>00t/a</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浇注</w:t>
            </w:r>
            <w:r>
              <w:rPr>
                <w:rFonts w:hint="eastAsia" w:cs="Times New Roman"/>
                <w:color w:val="auto"/>
                <w:spacing w:val="0"/>
                <w:sz w:val="24"/>
                <w:szCs w:val="24"/>
                <w:lang w:val="en-US" w:eastAsia="zh-CN"/>
              </w:rPr>
              <w:t>工段2h/d，600h/a</w:t>
            </w:r>
            <w:r>
              <w:rPr>
                <w:rFonts w:hint="default" w:ascii="Times New Roman" w:hAnsi="Times New Roman" w:eastAsia="宋体" w:cs="Times New Roman"/>
                <w:color w:val="auto"/>
                <w:spacing w:val="0"/>
                <w:sz w:val="24"/>
                <w:szCs w:val="24"/>
              </w:rPr>
              <w:t>。污染物源强参照《排放源统计调查产排污核算方法和系数手册》中《33-37，431-434  机械行业系数手册》中</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造型/</w:t>
            </w:r>
            <w:r>
              <w:rPr>
                <w:rFonts w:hint="default" w:ascii="Times New Roman" w:hAnsi="Times New Roman" w:eastAsia="宋体" w:cs="Times New Roman"/>
                <w:color w:val="auto"/>
                <w:spacing w:val="0"/>
                <w:sz w:val="24"/>
                <w:szCs w:val="24"/>
                <w:lang w:eastAsia="zh-CN"/>
              </w:rPr>
              <w:t>浇注</w:t>
            </w:r>
            <w:r>
              <w:rPr>
                <w:rFonts w:hint="default" w:ascii="Times New Roman" w:hAnsi="Times New Roman" w:eastAsia="宋体" w:cs="Times New Roman"/>
                <w:color w:val="auto"/>
                <w:spacing w:val="0"/>
                <w:sz w:val="24"/>
                <w:szCs w:val="24"/>
              </w:rPr>
              <w:t>（树脂砂）</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 xml:space="preserve">排污系数，颗粒物产污系数为1.03kg/t-产品。则冷芯盒射砂制型（芯）铸造过程中颗粒物产生量为 </w:t>
            </w:r>
            <w:r>
              <w:rPr>
                <w:rFonts w:hint="eastAsia" w:cs="Times New Roman"/>
                <w:color w:val="auto"/>
                <w:spacing w:val="0"/>
                <w:sz w:val="24"/>
                <w:szCs w:val="24"/>
                <w:lang w:val="en-US" w:eastAsia="zh-CN"/>
              </w:rPr>
              <w:t>1.957</w:t>
            </w:r>
            <w:r>
              <w:rPr>
                <w:rFonts w:hint="default" w:ascii="Times New Roman" w:hAnsi="Times New Roman" w:eastAsia="宋体" w:cs="Times New Roman"/>
                <w:color w:val="auto"/>
                <w:spacing w:val="0"/>
                <w:sz w:val="24"/>
                <w:szCs w:val="24"/>
              </w:rPr>
              <w:t>t/a。在浇注工位上方设置侧吸集气罩用于收集浇注过程中产生的颗粒物</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收集效率 90%</w:t>
            </w:r>
            <w:r>
              <w:rPr>
                <w:rFonts w:hint="eastAsia" w:cs="Times New Roman"/>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spacing w:val="0"/>
                <w:sz w:val="24"/>
                <w:szCs w:val="24"/>
              </w:rPr>
            </w:pPr>
            <w:r>
              <w:rPr>
                <w:rFonts w:hint="default" w:ascii="Times New Roman" w:hAnsi="Times New Roman" w:eastAsia="宋体" w:cs="Times New Roman"/>
                <w:b/>
                <w:bCs/>
                <w:spacing w:val="0"/>
                <w:sz w:val="24"/>
                <w:szCs w:val="24"/>
              </w:rPr>
              <w:t>风量核算：</w:t>
            </w:r>
            <w:r>
              <w:rPr>
                <w:rFonts w:hint="default" w:ascii="Times New Roman" w:hAnsi="Times New Roman" w:eastAsia="宋体" w:cs="Times New Roman"/>
                <w:spacing w:val="0"/>
                <w:sz w:val="24"/>
                <w:szCs w:val="24"/>
              </w:rPr>
              <w:t>根据《局部排风设施控制风速检测与评估技术规范》（AQ/T4274-2016），此类型上吸式集气罩收集的粉尘通过处理装置的控制</w:t>
            </w:r>
          </w:p>
          <w:p>
            <w:pPr>
              <w:keepNext w:val="0"/>
              <w:keepLines w:val="0"/>
              <w:pageBreakBefore w:val="0"/>
              <w:widowControl w:val="0"/>
              <w:kinsoku/>
              <w:wordWrap/>
              <w:overflowPunct/>
              <w:topLinePunct w:val="0"/>
              <w:autoSpaceDE/>
              <w:autoSpaceDN/>
              <w:bidi w:val="0"/>
              <w:adjustRightInd w:val="0"/>
              <w:snapToGrid w:val="0"/>
              <w:spacing w:line="360" w:lineRule="auto"/>
              <w:ind w:right="0"/>
              <w:jc w:val="left"/>
              <w:textAlignment w:val="auto"/>
              <w:rPr>
                <w:rFonts w:hint="eastAsia" w:cs="Times New Roman"/>
                <w:spacing w:val="0"/>
                <w:sz w:val="24"/>
                <w:szCs w:val="24"/>
                <w:lang w:val="en-US" w:eastAsia="zh-CN"/>
              </w:rPr>
            </w:pPr>
            <w:r>
              <w:rPr>
                <w:rFonts w:hint="default" w:ascii="Times New Roman" w:hAnsi="Times New Roman" w:eastAsia="宋体" w:cs="Times New Roman"/>
                <w:spacing w:val="0"/>
                <w:sz w:val="24"/>
                <w:szCs w:val="24"/>
              </w:rPr>
              <w:t>风速要在</w:t>
            </w:r>
            <w:r>
              <w:rPr>
                <w:rFonts w:hint="eastAsia" w:cs="Times New Roman"/>
                <w:spacing w:val="0"/>
                <w:sz w:val="24"/>
                <w:szCs w:val="24"/>
                <w:lang w:val="en-US" w:eastAsia="zh-CN"/>
              </w:rPr>
              <w:t xml:space="preserve">1.2 </w:t>
            </w:r>
            <w:r>
              <w:rPr>
                <w:rFonts w:hint="default" w:ascii="Times New Roman" w:hAnsi="Times New Roman" w:eastAsia="宋体" w:cs="Times New Roman"/>
                <w:spacing w:val="0"/>
                <w:sz w:val="24"/>
                <w:szCs w:val="24"/>
              </w:rPr>
              <w:t>m/s以保证收集效率。</w:t>
            </w:r>
            <w:r>
              <w:rPr>
                <w:rFonts w:hint="eastAsia" w:cs="Times New Roman"/>
                <w:spacing w:val="0"/>
                <w:sz w:val="24"/>
                <w:szCs w:val="24"/>
                <w:lang w:val="en-US" w:eastAsia="zh-CN"/>
              </w:rPr>
              <w:t>参照《排风罩的分类及技术条件》（GB/T16758-2008），排风罩的风量按下式计算</w:t>
            </w:r>
          </w:p>
          <w:p>
            <w:pPr>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cs="Times New Roman"/>
                <w:i/>
                <w:iCs/>
                <w:spacing w:val="0"/>
                <w:sz w:val="24"/>
                <w:szCs w:val="24"/>
                <w:lang w:val="en-US" w:eastAsia="zh-CN"/>
              </w:rPr>
            </w:pPr>
            <w:r>
              <w:rPr>
                <w:rFonts w:hint="eastAsia" w:cs="Times New Roman"/>
                <w:i/>
                <w:iCs/>
                <w:spacing w:val="0"/>
                <w:sz w:val="24"/>
                <w:szCs w:val="24"/>
                <w:lang w:val="en-US" w:eastAsia="zh-CN"/>
              </w:rPr>
              <w:t>Q</w:t>
            </w:r>
            <w:r>
              <w:rPr>
                <w:rFonts w:hint="eastAsia" w:cs="Times New Roman"/>
                <w:spacing w:val="0"/>
                <w:sz w:val="24"/>
                <w:szCs w:val="24"/>
                <w:lang w:val="en-US" w:eastAsia="zh-CN"/>
              </w:rPr>
              <w:t>=</w:t>
            </w:r>
            <w:r>
              <w:rPr>
                <w:rFonts w:hint="eastAsia" w:cs="Times New Roman"/>
                <w:i/>
                <w:iCs/>
                <w:spacing w:val="0"/>
                <w:sz w:val="24"/>
                <w:szCs w:val="24"/>
                <w:lang w:val="en-US" w:eastAsia="zh-CN"/>
              </w:rPr>
              <w:t>FV</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1440" w:firstLineChars="600"/>
              <w:jc w:val="both"/>
              <w:textAlignment w:val="auto"/>
              <w:rPr>
                <w:rFonts w:hint="default" w:cs="Times New Roman"/>
                <w:spacing w:val="0"/>
                <w:sz w:val="24"/>
                <w:szCs w:val="24"/>
                <w:lang w:val="en-US" w:eastAsia="zh-CN"/>
              </w:rPr>
            </w:pPr>
            <w:r>
              <w:rPr>
                <w:rFonts w:hint="eastAsia" w:cs="Times New Roman"/>
                <w:i/>
                <w:iCs/>
                <w:spacing w:val="0"/>
                <w:sz w:val="24"/>
                <w:szCs w:val="24"/>
                <w:lang w:val="en-US" w:eastAsia="zh-CN"/>
              </w:rPr>
              <w:t>Q</w:t>
            </w:r>
            <w:r>
              <w:rPr>
                <w:rFonts w:hint="eastAsia" w:cs="Times New Roman"/>
                <w:spacing w:val="0"/>
                <w:sz w:val="24"/>
                <w:szCs w:val="24"/>
                <w:lang w:val="en-US" w:eastAsia="zh-CN"/>
              </w:rPr>
              <w:t>~排风罩的排风量，单位为立方米每秒（m</w:t>
            </w:r>
            <w:r>
              <w:rPr>
                <w:rFonts w:hint="eastAsia" w:cs="Times New Roman"/>
                <w:spacing w:val="0"/>
                <w:sz w:val="24"/>
                <w:szCs w:val="24"/>
                <w:vertAlign w:val="superscript"/>
                <w:lang w:val="en-US" w:eastAsia="zh-CN"/>
              </w:rPr>
              <w:t>3</w:t>
            </w:r>
            <w:r>
              <w:rPr>
                <w:rFonts w:hint="eastAsia" w:cs="Times New Roman"/>
                <w:spacing w:val="0"/>
                <w:sz w:val="24"/>
                <w:szCs w:val="24"/>
                <w:lang w:val="en-US" w:eastAsia="zh-CN"/>
              </w:rPr>
              <w:t>/s）；</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1440" w:firstLineChars="600"/>
              <w:jc w:val="both"/>
              <w:textAlignment w:val="auto"/>
              <w:rPr>
                <w:rFonts w:hint="default" w:cs="Times New Roman"/>
                <w:spacing w:val="0"/>
                <w:sz w:val="24"/>
                <w:szCs w:val="24"/>
                <w:vertAlign w:val="superscript"/>
                <w:lang w:val="en-US" w:eastAsia="zh-CN"/>
              </w:rPr>
            </w:pPr>
            <w:r>
              <w:rPr>
                <w:rFonts w:hint="eastAsia" w:cs="Times New Roman"/>
                <w:i/>
                <w:iCs/>
                <w:spacing w:val="0"/>
                <w:sz w:val="24"/>
                <w:szCs w:val="24"/>
                <w:lang w:val="en-US" w:eastAsia="zh-CN"/>
              </w:rPr>
              <w:t>F</w:t>
            </w:r>
            <w:r>
              <w:rPr>
                <w:rFonts w:hint="eastAsia" w:cs="Times New Roman"/>
                <w:spacing w:val="0"/>
                <w:sz w:val="24"/>
                <w:szCs w:val="24"/>
                <w:lang w:val="en-US" w:eastAsia="zh-CN"/>
              </w:rPr>
              <w:t>~排风罩罩口面积，单位为平方米（m</w:t>
            </w:r>
            <w:r>
              <w:rPr>
                <w:rFonts w:hint="eastAsia" w:cs="Times New Roman"/>
                <w:spacing w:val="0"/>
                <w:sz w:val="24"/>
                <w:szCs w:val="24"/>
                <w:vertAlign w:val="superscript"/>
                <w:lang w:val="en-US" w:eastAsia="zh-CN"/>
              </w:rPr>
              <w:t>2</w:t>
            </w:r>
            <w:r>
              <w:rPr>
                <w:rFonts w:hint="eastAsia" w:cs="Times New Roman"/>
                <w:spacing w:val="0"/>
                <w:sz w:val="24"/>
                <w:szCs w:val="24"/>
                <w:lang w:val="en-US" w:eastAsia="zh-CN"/>
              </w:rPr>
              <w:t>），约2m</w:t>
            </w:r>
            <w:r>
              <w:rPr>
                <w:rFonts w:hint="eastAsia" w:cs="Times New Roman"/>
                <w:spacing w:val="0"/>
                <w:sz w:val="24"/>
                <w:szCs w:val="24"/>
                <w:vertAlign w:val="superscript"/>
                <w:lang w:val="en-US" w:eastAsia="zh-CN"/>
              </w:rPr>
              <w:t>3</w:t>
            </w:r>
            <w:r>
              <w:rPr>
                <w:rFonts w:hint="eastAsia" w:cs="Times New Roman"/>
                <w:spacing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1440" w:firstLineChars="600"/>
              <w:jc w:val="both"/>
              <w:textAlignment w:val="auto"/>
              <w:rPr>
                <w:rFonts w:hint="eastAsia" w:cs="Times New Roman"/>
                <w:spacing w:val="0"/>
                <w:sz w:val="24"/>
                <w:szCs w:val="24"/>
                <w:lang w:val="en-US" w:eastAsia="zh-CN"/>
              </w:rPr>
            </w:pPr>
            <w:r>
              <w:rPr>
                <w:rFonts w:hint="eastAsia" w:cs="Times New Roman"/>
                <w:i/>
                <w:iCs/>
                <w:spacing w:val="0"/>
                <w:sz w:val="24"/>
                <w:szCs w:val="24"/>
                <w:lang w:val="en-US" w:eastAsia="zh-CN"/>
              </w:rPr>
              <w:t>V</w:t>
            </w:r>
            <w:r>
              <w:rPr>
                <w:rFonts w:hint="eastAsia" w:cs="Times New Roman"/>
                <w:spacing w:val="0"/>
                <w:sz w:val="24"/>
                <w:szCs w:val="24"/>
                <w:lang w:val="en-US" w:eastAsia="zh-CN"/>
              </w:rPr>
              <w:t>~排风罩罩口平均风速，单位为米每秒（m/s），取1.4</w:t>
            </w:r>
            <w:r>
              <w:rPr>
                <w:rFonts w:hint="default" w:ascii="Times New Roman" w:hAnsi="Times New Roman" w:eastAsia="宋体" w:cs="Times New Roman"/>
                <w:spacing w:val="0"/>
                <w:sz w:val="24"/>
                <w:szCs w:val="24"/>
              </w:rPr>
              <w:t>m/s</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spacing w:val="0"/>
                <w:sz w:val="24"/>
                <w:szCs w:val="24"/>
                <w:lang w:val="en-US" w:eastAsia="zh-CN"/>
              </w:rPr>
            </w:pPr>
            <w:r>
              <w:rPr>
                <w:rFonts w:hint="eastAsia" w:ascii="Times New Roman" w:hAnsi="Times New Roman" w:eastAsia="宋体" w:cs="Times New Roman"/>
                <w:spacing w:val="0"/>
                <w:sz w:val="24"/>
                <w:szCs w:val="24"/>
                <w:lang w:val="en-US" w:eastAsia="zh-CN"/>
              </w:rPr>
              <w:t>经计算，集气罩集气风量</w:t>
            </w:r>
            <w:r>
              <w:rPr>
                <w:rFonts w:hint="eastAsia" w:cs="Times New Roman"/>
                <w:spacing w:val="0"/>
                <w:sz w:val="24"/>
                <w:szCs w:val="24"/>
                <w:lang w:val="en-US" w:eastAsia="zh-CN"/>
              </w:rPr>
              <w:t>合计约10000</w:t>
            </w:r>
            <w:r>
              <w:rPr>
                <w:rFonts w:hint="default" w:ascii="Times New Roman" w:hAnsi="Times New Roman" w:eastAsia="宋体" w:cs="Times New Roman"/>
                <w:spacing w:val="0"/>
                <w:sz w:val="24"/>
                <w:szCs w:val="24"/>
                <w:lang w:val="en-US" w:eastAsia="zh-CN"/>
              </w:rPr>
              <w:t>m</w:t>
            </w:r>
            <w:r>
              <w:rPr>
                <w:rFonts w:hint="eastAsia" w:cs="Times New Roman"/>
                <w:spacing w:val="0"/>
                <w:sz w:val="24"/>
                <w:szCs w:val="24"/>
                <w:vertAlign w:val="superscript"/>
                <w:lang w:val="en-US" w:eastAsia="zh-CN"/>
              </w:rPr>
              <w:t>2</w:t>
            </w:r>
            <w:r>
              <w:rPr>
                <w:rFonts w:hint="default" w:ascii="Times New Roman" w:hAnsi="Times New Roman" w:eastAsia="宋体" w:cs="Times New Roman"/>
                <w:spacing w:val="0"/>
                <w:sz w:val="24"/>
                <w:szCs w:val="24"/>
                <w:lang w:val="en-US" w:eastAsia="zh-CN"/>
              </w:rPr>
              <w:t xml:space="preserve"> /h</w:t>
            </w:r>
            <w:r>
              <w:rPr>
                <w:rFonts w:hint="eastAsia" w:ascii="Times New Roman" w:hAnsi="Times New Roman" w:eastAsia="宋体" w:cs="Times New Roman"/>
                <w:spacing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浇注废气颗粒物无组织排放量为</w:t>
            </w:r>
            <w:r>
              <w:rPr>
                <w:rFonts w:hint="eastAsia" w:cs="Times New Roman"/>
                <w:color w:val="auto"/>
                <w:spacing w:val="0"/>
                <w:sz w:val="24"/>
                <w:szCs w:val="24"/>
                <w:lang w:val="en-US" w:eastAsia="zh-CN"/>
              </w:rPr>
              <w:t>0.20</w:t>
            </w:r>
            <w:r>
              <w:rPr>
                <w:rFonts w:hint="default" w:ascii="Times New Roman" w:hAnsi="Times New Roman" w:eastAsia="宋体" w:cs="Times New Roman"/>
                <w:color w:val="auto"/>
                <w:spacing w:val="0"/>
                <w:sz w:val="24"/>
                <w:szCs w:val="24"/>
              </w:rPr>
              <w:t>t/a，有组织源强为</w:t>
            </w:r>
            <w:r>
              <w:rPr>
                <w:rFonts w:hint="eastAsia" w:cs="Times New Roman"/>
                <w:color w:val="auto"/>
                <w:spacing w:val="0"/>
                <w:sz w:val="24"/>
                <w:szCs w:val="24"/>
                <w:lang w:val="en-US" w:eastAsia="zh-CN"/>
              </w:rPr>
              <w:t xml:space="preserve">1.76 </w:t>
            </w:r>
            <w:r>
              <w:rPr>
                <w:rFonts w:hint="default" w:ascii="Times New Roman" w:hAnsi="Times New Roman" w:eastAsia="宋体" w:cs="Times New Roman"/>
                <w:color w:val="auto"/>
                <w:spacing w:val="0"/>
                <w:sz w:val="24"/>
                <w:szCs w:val="24"/>
              </w:rPr>
              <w:t>t/a。</w:t>
            </w:r>
            <w:r>
              <w:rPr>
                <w:rFonts w:hint="eastAsia" w:cs="Times New Roman"/>
                <w:color w:val="auto"/>
                <w:spacing w:val="0"/>
                <w:sz w:val="24"/>
                <w:szCs w:val="24"/>
                <w:lang w:val="en-US" w:eastAsia="zh-CN"/>
              </w:rPr>
              <w:t>浇注</w:t>
            </w:r>
            <w:r>
              <w:rPr>
                <w:rFonts w:hint="default" w:ascii="Times New Roman" w:hAnsi="Times New Roman" w:eastAsia="宋体" w:cs="Times New Roman"/>
                <w:color w:val="auto"/>
                <w:spacing w:val="0"/>
                <w:sz w:val="24"/>
                <w:szCs w:val="24"/>
              </w:rPr>
              <w:t>废气颗粒物有组织</w:t>
            </w:r>
            <w:r>
              <w:rPr>
                <w:rFonts w:hint="eastAsia" w:cs="Times New Roman"/>
                <w:color w:val="auto"/>
                <w:spacing w:val="0"/>
                <w:sz w:val="24"/>
                <w:szCs w:val="24"/>
                <w:lang w:val="en-US" w:eastAsia="zh-CN"/>
              </w:rPr>
              <w:t>排放量</w:t>
            </w:r>
            <w:r>
              <w:rPr>
                <w:rFonts w:hint="default" w:ascii="Times New Roman" w:hAnsi="Times New Roman" w:eastAsia="宋体" w:cs="Times New Roman"/>
                <w:color w:val="auto"/>
                <w:spacing w:val="0"/>
                <w:sz w:val="24"/>
                <w:szCs w:val="24"/>
              </w:rPr>
              <w:t>为</w:t>
            </w:r>
            <w:r>
              <w:rPr>
                <w:rFonts w:hint="eastAsia" w:cs="Times New Roman"/>
                <w:color w:val="auto"/>
                <w:spacing w:val="0"/>
                <w:sz w:val="24"/>
                <w:szCs w:val="24"/>
                <w:lang w:val="en-US" w:eastAsia="zh-CN"/>
              </w:rPr>
              <w:t>0.0176</w:t>
            </w:r>
            <w:r>
              <w:rPr>
                <w:rFonts w:hint="eastAsia" w:ascii="Times New Roman" w:hAnsi="Times New Roman" w:cs="Times New Roman"/>
                <w:color w:val="auto"/>
                <w:spacing w:val="0"/>
                <w:sz w:val="24"/>
                <w:szCs w:val="24"/>
                <w:lang w:val="en-US" w:eastAsia="zh-CN"/>
              </w:rPr>
              <w:t xml:space="preserve"> </w:t>
            </w:r>
            <w:r>
              <w:rPr>
                <w:rFonts w:hint="default" w:ascii="Times New Roman" w:hAnsi="Times New Roman" w:eastAsia="宋体" w:cs="Times New Roman"/>
                <w:color w:val="auto"/>
                <w:spacing w:val="0"/>
                <w:sz w:val="24"/>
                <w:szCs w:val="24"/>
              </w:rPr>
              <w:t>t/a</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排放速率为</w:t>
            </w:r>
            <w:r>
              <w:rPr>
                <w:rFonts w:hint="eastAsia" w:cs="Times New Roman"/>
                <w:color w:val="auto"/>
                <w:spacing w:val="0"/>
                <w:sz w:val="24"/>
                <w:szCs w:val="24"/>
                <w:lang w:val="en-US" w:eastAsia="zh-CN"/>
              </w:rPr>
              <w:t>0.029</w:t>
            </w:r>
            <w:r>
              <w:rPr>
                <w:rFonts w:hint="default" w:ascii="Times New Roman" w:hAnsi="Times New Roman" w:eastAsia="宋体" w:cs="Times New Roman"/>
                <w:color w:val="auto"/>
                <w:spacing w:val="0"/>
                <w:sz w:val="24"/>
                <w:szCs w:val="24"/>
              </w:rPr>
              <w:t>kg/h，</w:t>
            </w:r>
            <w:r>
              <w:rPr>
                <w:rFonts w:hint="eastAsia" w:ascii="Times New Roman" w:hAnsi="Times New Roman" w:eastAsia="宋体" w:cs="Times New Roman"/>
                <w:spacing w:val="0"/>
                <w:sz w:val="24"/>
                <w:szCs w:val="24"/>
                <w:lang w:val="en-US" w:eastAsia="zh-CN"/>
              </w:rPr>
              <w:t>风量</w:t>
            </w:r>
            <w:r>
              <w:rPr>
                <w:rFonts w:hint="eastAsia" w:cs="Times New Roman"/>
                <w:spacing w:val="0"/>
                <w:sz w:val="24"/>
                <w:szCs w:val="24"/>
                <w:lang w:val="en-US" w:eastAsia="zh-CN"/>
              </w:rPr>
              <w:t>合计约10000</w:t>
            </w:r>
            <w:r>
              <w:rPr>
                <w:rFonts w:hint="default" w:ascii="Times New Roman" w:hAnsi="Times New Roman" w:eastAsia="宋体" w:cs="Times New Roman"/>
                <w:spacing w:val="0"/>
                <w:sz w:val="24"/>
                <w:szCs w:val="24"/>
                <w:lang w:val="en-US" w:eastAsia="zh-CN"/>
              </w:rPr>
              <w:t>m</w:t>
            </w:r>
            <w:r>
              <w:rPr>
                <w:rFonts w:hint="eastAsia" w:cs="Times New Roman"/>
                <w:spacing w:val="0"/>
                <w:sz w:val="24"/>
                <w:szCs w:val="24"/>
                <w:vertAlign w:val="superscript"/>
                <w:lang w:val="en-US" w:eastAsia="zh-CN"/>
              </w:rPr>
              <w:t>2</w:t>
            </w:r>
            <w:r>
              <w:rPr>
                <w:rFonts w:hint="default" w:ascii="Times New Roman" w:hAnsi="Times New Roman" w:eastAsia="宋体" w:cs="Times New Roman"/>
                <w:spacing w:val="0"/>
                <w:sz w:val="24"/>
                <w:szCs w:val="24"/>
                <w:lang w:val="en-US" w:eastAsia="zh-CN"/>
              </w:rPr>
              <w:t xml:space="preserve"> /h</w:t>
            </w:r>
            <w:r>
              <w:rPr>
                <w:rFonts w:hint="eastAsia" w:cs="Times New Roman"/>
                <w:color w:val="auto"/>
                <w:spacing w:val="0"/>
                <w:sz w:val="24"/>
                <w:szCs w:val="24"/>
                <w:lang w:val="en-US" w:eastAsia="zh-CN"/>
              </w:rPr>
              <w:t>，</w:t>
            </w:r>
            <w:r>
              <w:rPr>
                <w:rFonts w:hint="default" w:ascii="Times New Roman" w:hAnsi="Times New Roman" w:eastAsia="宋体" w:cs="Times New Roman"/>
                <w:color w:val="auto"/>
                <w:spacing w:val="0"/>
                <w:sz w:val="24"/>
                <w:szCs w:val="24"/>
              </w:rPr>
              <w:t>排放浓度为</w:t>
            </w:r>
            <w:r>
              <w:rPr>
                <w:rFonts w:hint="eastAsia" w:cs="Times New Roman"/>
                <w:color w:val="auto"/>
                <w:spacing w:val="0"/>
                <w:sz w:val="24"/>
                <w:szCs w:val="24"/>
                <w:lang w:val="en-US" w:eastAsia="zh-CN"/>
              </w:rPr>
              <w:t>2.93m</w:t>
            </w:r>
            <w:r>
              <w:rPr>
                <w:rFonts w:hint="default" w:ascii="Times New Roman" w:hAnsi="Times New Roman" w:eastAsia="宋体" w:cs="Times New Roman"/>
                <w:color w:val="auto"/>
                <w:spacing w:val="0"/>
                <w:sz w:val="24"/>
                <w:szCs w:val="24"/>
              </w:rPr>
              <w:t>g/m</w:t>
            </w:r>
            <w:r>
              <w:rPr>
                <w:rFonts w:hint="default" w:ascii="Times New Roman" w:hAnsi="Times New Roman" w:eastAsia="宋体" w:cs="Times New Roman"/>
                <w:color w:val="auto"/>
                <w:spacing w:val="0"/>
                <w:sz w:val="24"/>
                <w:szCs w:val="24"/>
                <w:vertAlign w:val="superscript"/>
              </w:rPr>
              <w:t>3</w:t>
            </w:r>
            <w:r>
              <w:rPr>
                <w:rFonts w:hint="default" w:ascii="Times New Roman" w:hAnsi="Times New Roman" w:eastAsia="宋体" w:cs="Times New Roman"/>
                <w:color w:val="auto"/>
                <w:spacing w:val="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62" w:firstLineChars="200"/>
              <w:textAlignment w:val="auto"/>
              <w:rPr>
                <w:rFonts w:hint="default" w:ascii="Times New Roman" w:hAnsi="Times New Roman" w:eastAsia="宋体" w:cs="Times New Roman"/>
                <w:b/>
                <w:bCs/>
                <w:color w:val="auto"/>
                <w:spacing w:val="-5"/>
                <w:sz w:val="24"/>
                <w:szCs w:val="24"/>
              </w:rPr>
            </w:pPr>
            <w:r>
              <w:rPr>
                <w:rFonts w:hint="default" w:ascii="Times New Roman" w:hAnsi="Times New Roman" w:eastAsia="宋体" w:cs="Times New Roman"/>
                <w:b/>
                <w:bCs/>
                <w:color w:val="auto"/>
                <w:spacing w:val="-5"/>
                <w:sz w:val="24"/>
                <w:szCs w:val="24"/>
              </w:rPr>
              <w:t>B、砂处理废气</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pacing w:val="0"/>
                <w:sz w:val="24"/>
                <w:szCs w:val="24"/>
              </w:rPr>
            </w:pPr>
            <w:r>
              <w:rPr>
                <w:rFonts w:hint="eastAsia" w:cs="Times New Roman"/>
                <w:color w:val="auto"/>
                <w:spacing w:val="0"/>
                <w:sz w:val="24"/>
                <w:szCs w:val="24"/>
                <w:lang w:eastAsia="zh-CN"/>
              </w:rPr>
              <w:t>砂处理</w:t>
            </w:r>
            <w:r>
              <w:rPr>
                <w:rFonts w:hint="default" w:ascii="Times New Roman" w:hAnsi="Times New Roman" w:eastAsia="宋体" w:cs="Times New Roman"/>
                <w:color w:val="auto"/>
                <w:spacing w:val="0"/>
                <w:sz w:val="24"/>
                <w:szCs w:val="24"/>
              </w:rPr>
              <w:t>过程中会产生颗粒物，</w:t>
            </w:r>
            <w:r>
              <w:rPr>
                <w:rFonts w:hint="eastAsia" w:cs="Times New Roman"/>
                <w:color w:val="auto"/>
                <w:spacing w:val="0"/>
                <w:sz w:val="24"/>
                <w:szCs w:val="24"/>
                <w:lang w:val="en-US" w:eastAsia="zh-CN"/>
              </w:rPr>
              <w:t>砂处理工段4h/d，1200h/a</w:t>
            </w:r>
            <w:r>
              <w:rPr>
                <w:rFonts w:hint="default" w:ascii="Times New Roman" w:hAnsi="Times New Roman" w:eastAsia="宋体" w:cs="Times New Roman"/>
                <w:color w:val="auto"/>
                <w:spacing w:val="0"/>
                <w:sz w:val="24"/>
                <w:szCs w:val="24"/>
              </w:rPr>
              <w:t>染物源强参照《排放源统计调查产排污核算方法和系数手册》中《33-37</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431-434 机械行业系数手册》中</w:t>
            </w:r>
            <w:r>
              <w:rPr>
                <w:rFonts w:hint="eastAsia" w:ascii="Times New Roman" w:hAnsi="Times New Roman" w:cs="Times New Roman"/>
                <w:color w:val="auto"/>
                <w:spacing w:val="0"/>
                <w:sz w:val="24"/>
                <w:szCs w:val="24"/>
                <w:lang w:eastAsia="zh-CN"/>
              </w:rPr>
              <w:t>“</w:t>
            </w:r>
            <w:r>
              <w:rPr>
                <w:rFonts w:hint="default" w:ascii="Times New Roman" w:hAnsi="Times New Roman" w:eastAsia="宋体" w:cs="Times New Roman"/>
                <w:color w:val="auto"/>
                <w:spacing w:val="0"/>
                <w:sz w:val="24"/>
                <w:szCs w:val="24"/>
              </w:rPr>
              <w:t>砂处理（</w:t>
            </w:r>
            <w:r>
              <w:rPr>
                <w:rFonts w:hint="eastAsia" w:cs="Times New Roman"/>
                <w:color w:val="auto"/>
                <w:spacing w:val="0"/>
                <w:sz w:val="24"/>
                <w:szCs w:val="24"/>
                <w:lang w:val="en-US" w:eastAsia="zh-CN"/>
              </w:rPr>
              <w:t>树脂砂</w:t>
            </w:r>
            <w:r>
              <w:rPr>
                <w:rFonts w:hint="default" w:ascii="Times New Roman" w:hAnsi="Times New Roman" w:eastAsia="宋体" w:cs="Times New Roman"/>
                <w:color w:val="auto"/>
                <w:spacing w:val="0"/>
                <w:sz w:val="24"/>
                <w:szCs w:val="24"/>
              </w:rPr>
              <w:t>）</w:t>
            </w:r>
            <w:r>
              <w:rPr>
                <w:rFonts w:hint="eastAsia" w:ascii="Times New Roman" w:hAnsi="Times New Roman" w:cs="Times New Roman"/>
                <w:color w:val="auto"/>
                <w:spacing w:val="0"/>
                <w:sz w:val="24"/>
                <w:szCs w:val="24"/>
                <w:lang w:eastAsia="zh-CN"/>
              </w:rPr>
              <w:t>”</w:t>
            </w:r>
            <w:r>
              <w:rPr>
                <w:rFonts w:hint="eastAsia" w:cs="Times New Roman"/>
                <w:color w:val="auto"/>
                <w:spacing w:val="0"/>
                <w:sz w:val="24"/>
                <w:szCs w:val="24"/>
                <w:lang w:val="en-US" w:eastAsia="zh-CN"/>
              </w:rPr>
              <w:t>产</w:t>
            </w:r>
            <w:r>
              <w:rPr>
                <w:rFonts w:hint="default" w:ascii="Times New Roman" w:hAnsi="Times New Roman" w:eastAsia="宋体" w:cs="Times New Roman"/>
                <w:color w:val="auto"/>
                <w:spacing w:val="0"/>
                <w:sz w:val="24"/>
                <w:szCs w:val="24"/>
              </w:rPr>
              <w:t>污系数，颗粒物产污系数为</w:t>
            </w:r>
            <w:r>
              <w:rPr>
                <w:rFonts w:hint="eastAsia" w:cs="Times New Roman"/>
                <w:color w:val="auto"/>
                <w:spacing w:val="0"/>
                <w:sz w:val="24"/>
                <w:szCs w:val="24"/>
                <w:lang w:val="en-US" w:eastAsia="zh-CN"/>
              </w:rPr>
              <w:t>16</w:t>
            </w:r>
            <w:r>
              <w:rPr>
                <w:rFonts w:hint="default" w:ascii="Times New Roman" w:hAnsi="Times New Roman" w:eastAsia="宋体" w:cs="Times New Roman"/>
                <w:color w:val="auto"/>
                <w:spacing w:val="0"/>
                <w:sz w:val="24"/>
                <w:szCs w:val="24"/>
              </w:rPr>
              <w:t>kg/t-产品。则项目</w:t>
            </w:r>
            <w:r>
              <w:rPr>
                <w:rFonts w:hint="eastAsia" w:cs="Times New Roman"/>
                <w:color w:val="auto"/>
                <w:spacing w:val="0"/>
                <w:sz w:val="24"/>
                <w:szCs w:val="24"/>
                <w:lang w:eastAsia="zh-CN"/>
              </w:rPr>
              <w:t>砂处理</w:t>
            </w:r>
            <w:r>
              <w:rPr>
                <w:rFonts w:hint="default" w:ascii="Times New Roman" w:hAnsi="Times New Roman" w:eastAsia="宋体" w:cs="Times New Roman"/>
                <w:color w:val="auto"/>
                <w:spacing w:val="0"/>
                <w:sz w:val="24"/>
                <w:szCs w:val="24"/>
              </w:rPr>
              <w:t>过程中颗粒物产生量为</w:t>
            </w:r>
            <w:r>
              <w:rPr>
                <w:rFonts w:hint="eastAsia" w:cs="Times New Roman"/>
                <w:color w:val="auto"/>
                <w:spacing w:val="0"/>
                <w:sz w:val="24"/>
                <w:szCs w:val="24"/>
                <w:lang w:val="en-US" w:eastAsia="zh-CN"/>
              </w:rPr>
              <w:t>30.4</w:t>
            </w:r>
            <w:r>
              <w:rPr>
                <w:rFonts w:hint="eastAsia" w:ascii="Times New Roman" w:hAnsi="Times New Roman" w:cs="Times New Roman"/>
                <w:color w:val="auto"/>
                <w:spacing w:val="0"/>
                <w:sz w:val="24"/>
                <w:szCs w:val="24"/>
                <w:lang w:val="en-US" w:eastAsia="zh-CN"/>
              </w:rPr>
              <w:t xml:space="preserve"> </w:t>
            </w:r>
            <w:r>
              <w:rPr>
                <w:rFonts w:hint="default" w:ascii="Times New Roman" w:hAnsi="Times New Roman" w:eastAsia="宋体" w:cs="Times New Roman"/>
                <w:color w:val="auto"/>
                <w:spacing w:val="0"/>
                <w:sz w:val="24"/>
                <w:szCs w:val="24"/>
              </w:rPr>
              <w:t>t/a。</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spacing w:val="0"/>
                <w:sz w:val="24"/>
                <w:szCs w:val="24"/>
              </w:rPr>
            </w:pPr>
            <w:r>
              <w:rPr>
                <w:rFonts w:hint="eastAsia" w:cs="Times New Roman"/>
                <w:color w:val="auto"/>
                <w:spacing w:val="0"/>
                <w:sz w:val="24"/>
                <w:szCs w:val="24"/>
                <w:lang w:eastAsia="zh-CN"/>
              </w:rPr>
              <w:t>砂处理</w:t>
            </w:r>
            <w:r>
              <w:rPr>
                <w:rFonts w:hint="eastAsia" w:cs="Times New Roman"/>
                <w:color w:val="auto"/>
                <w:spacing w:val="0"/>
                <w:sz w:val="24"/>
                <w:szCs w:val="24"/>
                <w:lang w:val="en-US" w:eastAsia="zh-CN"/>
              </w:rPr>
              <w:t>废气经</w:t>
            </w:r>
            <w:r>
              <w:rPr>
                <w:rFonts w:hint="default" w:ascii="Times New Roman" w:hAnsi="Times New Roman" w:eastAsia="宋体" w:cs="Times New Roman"/>
                <w:color w:val="auto"/>
                <w:spacing w:val="0"/>
                <w:sz w:val="24"/>
                <w:szCs w:val="24"/>
              </w:rPr>
              <w:t>上方</w:t>
            </w:r>
            <w:r>
              <w:rPr>
                <w:rFonts w:hint="eastAsia" w:cs="Times New Roman"/>
                <w:color w:val="auto"/>
                <w:spacing w:val="0"/>
                <w:sz w:val="24"/>
                <w:szCs w:val="24"/>
                <w:lang w:val="en-US" w:eastAsia="zh-CN"/>
              </w:rPr>
              <w:t>封闭罩收集后，</w:t>
            </w:r>
            <w:r>
              <w:rPr>
                <w:rFonts w:hint="default" w:ascii="Times New Roman" w:hAnsi="Times New Roman" w:eastAsia="宋体" w:cs="Times New Roman"/>
                <w:spacing w:val="0"/>
                <w:sz w:val="24"/>
                <w:szCs w:val="24"/>
              </w:rPr>
              <w:t>经处理效率 99%</w:t>
            </w:r>
            <w:r>
              <w:rPr>
                <w:rFonts w:hint="eastAsia" w:cs="Times New Roman"/>
                <w:spacing w:val="0"/>
                <w:sz w:val="24"/>
                <w:szCs w:val="24"/>
                <w:lang w:val="en-US" w:eastAsia="zh-CN"/>
              </w:rPr>
              <w:t>的</w:t>
            </w:r>
            <w:r>
              <w:rPr>
                <w:rFonts w:hint="default" w:ascii="Times New Roman" w:hAnsi="Times New Roman" w:eastAsia="宋体" w:cs="Times New Roman"/>
                <w:spacing w:val="0"/>
                <w:sz w:val="24"/>
                <w:szCs w:val="24"/>
              </w:rPr>
              <w:t>布袋除尘器处理后由 15m 高排气筒排放</w:t>
            </w:r>
            <w:r>
              <w:rPr>
                <w:rFonts w:hint="eastAsia" w:ascii="Times New Roman" w:hAnsi="Times New Roman" w:eastAsia="宋体" w:cs="Times New Roman"/>
                <w:spacing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pacing w:val="0"/>
                <w:sz w:val="24"/>
                <w:szCs w:val="24"/>
              </w:rPr>
            </w:pPr>
            <w:r>
              <w:rPr>
                <w:rFonts w:hint="eastAsia" w:cs="Times New Roman"/>
                <w:color w:val="auto"/>
                <w:spacing w:val="0"/>
                <w:sz w:val="24"/>
                <w:szCs w:val="24"/>
                <w:lang w:eastAsia="zh-CN"/>
              </w:rPr>
              <w:t>砂处理</w:t>
            </w:r>
            <w:r>
              <w:rPr>
                <w:rFonts w:hint="default" w:ascii="Times New Roman" w:hAnsi="Times New Roman" w:eastAsia="宋体" w:cs="Times New Roman"/>
                <w:color w:val="auto"/>
                <w:spacing w:val="0"/>
                <w:sz w:val="24"/>
                <w:szCs w:val="24"/>
              </w:rPr>
              <w:t>废气颗粒物有组织</w:t>
            </w:r>
            <w:r>
              <w:rPr>
                <w:rFonts w:hint="eastAsia" w:cs="Times New Roman"/>
                <w:color w:val="auto"/>
                <w:spacing w:val="0"/>
                <w:sz w:val="24"/>
                <w:szCs w:val="24"/>
                <w:lang w:val="en-US" w:eastAsia="zh-CN"/>
              </w:rPr>
              <w:t>排放量</w:t>
            </w:r>
            <w:r>
              <w:rPr>
                <w:rFonts w:hint="default" w:ascii="Times New Roman" w:hAnsi="Times New Roman" w:eastAsia="宋体" w:cs="Times New Roman"/>
                <w:color w:val="auto"/>
                <w:spacing w:val="0"/>
                <w:sz w:val="24"/>
                <w:szCs w:val="24"/>
              </w:rPr>
              <w:t>为</w:t>
            </w:r>
            <w:r>
              <w:rPr>
                <w:rFonts w:hint="eastAsia" w:cs="Times New Roman"/>
                <w:color w:val="auto"/>
                <w:spacing w:val="0"/>
                <w:sz w:val="24"/>
                <w:szCs w:val="24"/>
                <w:lang w:val="en-US" w:eastAsia="zh-CN"/>
              </w:rPr>
              <w:t>0.304</w:t>
            </w:r>
            <w:r>
              <w:rPr>
                <w:rFonts w:hint="eastAsia" w:ascii="Times New Roman" w:hAnsi="Times New Roman" w:cs="Times New Roman"/>
                <w:color w:val="auto"/>
                <w:spacing w:val="0"/>
                <w:sz w:val="24"/>
                <w:szCs w:val="24"/>
                <w:lang w:val="en-US" w:eastAsia="zh-CN"/>
              </w:rPr>
              <w:t xml:space="preserve"> </w:t>
            </w:r>
            <w:r>
              <w:rPr>
                <w:rFonts w:hint="default" w:ascii="Times New Roman" w:hAnsi="Times New Roman" w:eastAsia="宋体" w:cs="Times New Roman"/>
                <w:color w:val="auto"/>
                <w:spacing w:val="0"/>
                <w:sz w:val="24"/>
                <w:szCs w:val="24"/>
              </w:rPr>
              <w:t>t/a</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排放速率为</w:t>
            </w:r>
            <w:r>
              <w:rPr>
                <w:rFonts w:hint="eastAsia" w:cs="Times New Roman"/>
                <w:color w:val="auto"/>
                <w:spacing w:val="0"/>
                <w:sz w:val="24"/>
                <w:szCs w:val="24"/>
                <w:lang w:val="en-US" w:eastAsia="zh-CN"/>
              </w:rPr>
              <w:t>0.253</w:t>
            </w:r>
            <w:r>
              <w:rPr>
                <w:rFonts w:hint="default" w:ascii="Times New Roman" w:hAnsi="Times New Roman" w:eastAsia="宋体" w:cs="Times New Roman"/>
                <w:color w:val="auto"/>
                <w:spacing w:val="0"/>
                <w:sz w:val="24"/>
                <w:szCs w:val="24"/>
              </w:rPr>
              <w:t>kg/h，</w:t>
            </w:r>
            <w:r>
              <w:rPr>
                <w:rFonts w:hint="eastAsia" w:ascii="Times New Roman" w:hAnsi="Times New Roman" w:eastAsia="宋体" w:cs="Times New Roman"/>
                <w:spacing w:val="0"/>
                <w:sz w:val="24"/>
                <w:szCs w:val="24"/>
                <w:lang w:val="en-US" w:eastAsia="zh-CN"/>
              </w:rPr>
              <w:t>风量</w:t>
            </w:r>
            <w:r>
              <w:rPr>
                <w:rFonts w:hint="eastAsia" w:cs="Times New Roman"/>
                <w:spacing w:val="0"/>
                <w:sz w:val="24"/>
                <w:szCs w:val="24"/>
                <w:lang w:val="en-US" w:eastAsia="zh-CN"/>
              </w:rPr>
              <w:t>合计约10000</w:t>
            </w:r>
            <w:r>
              <w:rPr>
                <w:rFonts w:hint="default" w:ascii="Times New Roman" w:hAnsi="Times New Roman" w:eastAsia="宋体" w:cs="Times New Roman"/>
                <w:spacing w:val="0"/>
                <w:sz w:val="24"/>
                <w:szCs w:val="24"/>
                <w:lang w:val="en-US" w:eastAsia="zh-CN"/>
              </w:rPr>
              <w:t>m</w:t>
            </w:r>
            <w:r>
              <w:rPr>
                <w:rFonts w:hint="eastAsia" w:cs="Times New Roman"/>
                <w:spacing w:val="0"/>
                <w:sz w:val="24"/>
                <w:szCs w:val="24"/>
                <w:vertAlign w:val="superscript"/>
                <w:lang w:val="en-US" w:eastAsia="zh-CN"/>
              </w:rPr>
              <w:t>2</w:t>
            </w:r>
            <w:r>
              <w:rPr>
                <w:rFonts w:hint="default" w:ascii="Times New Roman" w:hAnsi="Times New Roman" w:eastAsia="宋体" w:cs="Times New Roman"/>
                <w:spacing w:val="0"/>
                <w:sz w:val="24"/>
                <w:szCs w:val="24"/>
                <w:lang w:val="en-US" w:eastAsia="zh-CN"/>
              </w:rPr>
              <w:t xml:space="preserve"> /h</w:t>
            </w:r>
            <w:r>
              <w:rPr>
                <w:rFonts w:hint="eastAsia" w:cs="Times New Roman"/>
                <w:color w:val="auto"/>
                <w:spacing w:val="0"/>
                <w:sz w:val="24"/>
                <w:szCs w:val="24"/>
                <w:lang w:val="en-US" w:eastAsia="zh-CN"/>
              </w:rPr>
              <w:t>，</w:t>
            </w:r>
            <w:r>
              <w:rPr>
                <w:rFonts w:hint="default" w:ascii="Times New Roman" w:hAnsi="Times New Roman" w:eastAsia="宋体" w:cs="Times New Roman"/>
                <w:color w:val="auto"/>
                <w:spacing w:val="0"/>
                <w:sz w:val="24"/>
                <w:szCs w:val="24"/>
              </w:rPr>
              <w:t>排放浓度为</w:t>
            </w:r>
            <w:r>
              <w:rPr>
                <w:rFonts w:hint="eastAsia" w:cs="Times New Roman"/>
                <w:color w:val="auto"/>
                <w:spacing w:val="0"/>
                <w:sz w:val="24"/>
                <w:szCs w:val="24"/>
                <w:lang w:val="en-US" w:eastAsia="zh-CN"/>
              </w:rPr>
              <w:t>25.3m</w:t>
            </w:r>
            <w:r>
              <w:rPr>
                <w:rFonts w:hint="default" w:ascii="Times New Roman" w:hAnsi="Times New Roman" w:eastAsia="宋体" w:cs="Times New Roman"/>
                <w:color w:val="auto"/>
                <w:spacing w:val="0"/>
                <w:sz w:val="24"/>
                <w:szCs w:val="24"/>
              </w:rPr>
              <w:t>g/m</w:t>
            </w:r>
            <w:r>
              <w:rPr>
                <w:rFonts w:hint="default" w:ascii="Times New Roman" w:hAnsi="Times New Roman" w:eastAsia="宋体" w:cs="Times New Roman"/>
                <w:color w:val="auto"/>
                <w:spacing w:val="0"/>
                <w:sz w:val="24"/>
                <w:szCs w:val="24"/>
                <w:vertAlign w:val="superscript"/>
              </w:rPr>
              <w:t>3</w:t>
            </w:r>
            <w:r>
              <w:rPr>
                <w:rFonts w:hint="default" w:ascii="Times New Roman" w:hAnsi="Times New Roman" w:eastAsia="宋体" w:cs="Times New Roman"/>
                <w:color w:val="auto"/>
                <w:spacing w:val="0"/>
                <w:sz w:val="24"/>
                <w:szCs w:val="24"/>
              </w:rPr>
              <w:t>。</w:t>
            </w:r>
          </w:p>
          <w:p>
            <w:pPr>
              <w:keepNext w:val="0"/>
              <w:keepLines w:val="0"/>
              <w:pageBreakBefore w:val="0"/>
              <w:kinsoku/>
              <w:wordWrap/>
              <w:overflowPunct/>
              <w:topLinePunct w:val="0"/>
              <w:autoSpaceDE/>
              <w:autoSpaceDN/>
              <w:bidi w:val="0"/>
              <w:adjustRightInd w:val="0"/>
              <w:snapToGrid w:val="0"/>
              <w:spacing w:line="360" w:lineRule="auto"/>
              <w:ind w:left="0" w:right="0" w:firstLine="478" w:firstLineChars="200"/>
              <w:textAlignment w:val="auto"/>
              <w:rPr>
                <w:rFonts w:hint="eastAsia" w:ascii="宋体" w:hAnsi="宋体" w:eastAsia="宋体" w:cs="宋体"/>
                <w:b/>
                <w:bCs/>
                <w:sz w:val="24"/>
                <w:szCs w:val="24"/>
                <w:lang w:eastAsia="zh-CN"/>
              </w:rPr>
            </w:pPr>
            <w:r>
              <w:rPr>
                <w:rFonts w:hint="eastAsia" w:ascii="宋体" w:hAnsi="宋体" w:cs="宋体"/>
                <w:b/>
                <w:bCs/>
                <w:spacing w:val="-1"/>
                <w:sz w:val="24"/>
                <w:szCs w:val="24"/>
                <w:lang w:eastAsia="zh-CN"/>
              </w:rPr>
              <w:t>（</w:t>
            </w:r>
            <w:r>
              <w:rPr>
                <w:rFonts w:hint="eastAsia" w:ascii="宋体" w:hAnsi="宋体" w:cs="宋体"/>
                <w:b/>
                <w:bCs/>
                <w:spacing w:val="-1"/>
                <w:sz w:val="24"/>
                <w:szCs w:val="24"/>
                <w:lang w:val="en-US" w:eastAsia="zh-CN"/>
              </w:rPr>
              <w:t>3</w:t>
            </w:r>
            <w:r>
              <w:rPr>
                <w:rFonts w:hint="eastAsia" w:ascii="宋体" w:hAnsi="宋体" w:cs="宋体"/>
                <w:b/>
                <w:bCs/>
                <w:spacing w:val="-1"/>
                <w:sz w:val="24"/>
                <w:szCs w:val="24"/>
                <w:lang w:eastAsia="zh-CN"/>
              </w:rPr>
              <w:t>）</w:t>
            </w:r>
            <w:r>
              <w:rPr>
                <w:rFonts w:ascii="宋体" w:hAnsi="宋体" w:eastAsia="宋体" w:cs="宋体"/>
                <w:b/>
                <w:bCs/>
                <w:spacing w:val="-1"/>
                <w:sz w:val="24"/>
                <w:szCs w:val="24"/>
              </w:rPr>
              <w:t>冷芯盒</w:t>
            </w:r>
            <w:r>
              <w:rPr>
                <w:rFonts w:hint="eastAsia" w:ascii="宋体" w:hAnsi="宋体" w:cs="宋体"/>
                <w:b/>
                <w:bCs/>
                <w:spacing w:val="-1"/>
                <w:sz w:val="24"/>
                <w:szCs w:val="24"/>
                <w:lang w:eastAsia="zh-CN"/>
              </w:rPr>
              <w:t>制芯废气</w:t>
            </w:r>
          </w:p>
          <w:p>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spacing w:val="0"/>
                <w:sz w:val="24"/>
                <w:szCs w:val="24"/>
                <w:lang w:eastAsia="zh-CN"/>
              </w:rPr>
            </w:pPr>
            <w:r>
              <w:rPr>
                <w:rFonts w:hint="default" w:ascii="Times New Roman" w:hAnsi="Times New Roman" w:cs="Times New Roman"/>
                <w:spacing w:val="0"/>
                <w:sz w:val="24"/>
                <w:szCs w:val="24"/>
                <w:lang w:eastAsia="zh-CN"/>
              </w:rPr>
              <w:t>冷芯盒</w:t>
            </w:r>
            <w:r>
              <w:rPr>
                <w:rFonts w:hint="eastAsia" w:cs="Times New Roman"/>
                <w:spacing w:val="0"/>
                <w:sz w:val="24"/>
                <w:szCs w:val="24"/>
                <w:lang w:val="en-US" w:eastAsia="zh-CN"/>
              </w:rPr>
              <w:t>制芯工段工作时间为4h/d，1200h/a</w:t>
            </w:r>
            <w:r>
              <w:rPr>
                <w:rFonts w:hint="default" w:ascii="Times New Roman" w:hAnsi="Times New Roman" w:eastAsia="宋体" w:cs="Times New Roman"/>
                <w:spacing w:val="0"/>
                <w:sz w:val="24"/>
                <w:szCs w:val="24"/>
              </w:rPr>
              <w:t>。</w:t>
            </w:r>
            <w:r>
              <w:rPr>
                <w:rFonts w:hint="default" w:ascii="Times New Roman" w:hAnsi="Times New Roman" w:cs="Times New Roman"/>
                <w:spacing w:val="0"/>
                <w:sz w:val="24"/>
                <w:szCs w:val="24"/>
                <w:lang w:eastAsia="zh-CN"/>
              </w:rPr>
              <w:t>冷芯盒射砂工序会产生三乙胺废气和颗粒物。根据工艺设计， 三乙胺用气量为</w:t>
            </w:r>
            <w:r>
              <w:rPr>
                <w:rFonts w:hint="eastAsia" w:cs="Times New Roman"/>
                <w:spacing w:val="0"/>
                <w:sz w:val="24"/>
                <w:szCs w:val="24"/>
                <w:lang w:val="en-US" w:eastAsia="zh-CN"/>
              </w:rPr>
              <w:t>1.2</w:t>
            </w:r>
            <w:r>
              <w:rPr>
                <w:rFonts w:hint="default" w:ascii="Times New Roman" w:hAnsi="Times New Roman" w:cs="Times New Roman"/>
                <w:spacing w:val="0"/>
                <w:sz w:val="24"/>
                <w:szCs w:val="24"/>
                <w:lang w:eastAsia="zh-CN"/>
              </w:rPr>
              <w:t>t/a，由制芯机吹气系统往芯盒内吹入三乙胺， 使砂芯全部与气流接触而硬化</w:t>
            </w:r>
            <w:r>
              <w:rPr>
                <w:rFonts w:hint="eastAsia" w:cs="Times New Roman"/>
                <w:spacing w:val="0"/>
                <w:sz w:val="24"/>
                <w:szCs w:val="24"/>
                <w:lang w:eastAsia="zh-CN"/>
              </w:rPr>
              <w:t>，</w:t>
            </w:r>
            <w:r>
              <w:rPr>
                <w:rFonts w:hint="default" w:ascii="Times New Roman" w:hAnsi="Times New Roman" w:cs="Times New Roman"/>
                <w:spacing w:val="0"/>
                <w:sz w:val="24"/>
                <w:szCs w:val="24"/>
                <w:lang w:eastAsia="zh-CN"/>
              </w:rPr>
              <w:t>三乙胺起到催化作用下</w:t>
            </w:r>
            <w:r>
              <w:rPr>
                <w:rFonts w:hint="eastAsia" w:cs="Times New Roman"/>
                <w:spacing w:val="0"/>
                <w:sz w:val="24"/>
                <w:szCs w:val="24"/>
                <w:lang w:eastAsia="zh-CN"/>
              </w:rPr>
              <w:t>，</w:t>
            </w:r>
            <w:r>
              <w:rPr>
                <w:rFonts w:hint="default" w:ascii="Times New Roman" w:hAnsi="Times New Roman" w:cs="Times New Roman"/>
                <w:spacing w:val="0"/>
                <w:sz w:val="24"/>
                <w:szCs w:val="24"/>
                <w:lang w:eastAsia="zh-CN"/>
              </w:rPr>
              <w:t>本身不发生反应</w:t>
            </w:r>
            <w:r>
              <w:rPr>
                <w:rFonts w:hint="eastAsia" w:cs="Times New Roman"/>
                <w:spacing w:val="0"/>
                <w:sz w:val="24"/>
                <w:szCs w:val="24"/>
                <w:lang w:eastAsia="zh-CN"/>
              </w:rPr>
              <w:t>，</w:t>
            </w:r>
            <w:r>
              <w:rPr>
                <w:rFonts w:hint="default" w:ascii="Times New Roman" w:hAnsi="Times New Roman" w:cs="Times New Roman"/>
                <w:spacing w:val="0"/>
                <w:sz w:val="24"/>
                <w:szCs w:val="24"/>
                <w:lang w:eastAsia="zh-CN"/>
              </w:rPr>
              <w:t>三乙胺的使用量即为排放量；根据《排放源统计调查产排污核算方法和系数手册 机械行业系数手册》</w:t>
            </w:r>
            <w:r>
              <w:rPr>
                <w:rFonts w:hint="eastAsia" w:cs="Times New Roman"/>
                <w:spacing w:val="0"/>
                <w:sz w:val="24"/>
                <w:szCs w:val="24"/>
                <w:lang w:eastAsia="zh-CN"/>
              </w:rPr>
              <w:t>“</w:t>
            </w:r>
            <w:r>
              <w:rPr>
                <w:rFonts w:hint="default" w:ascii="Times New Roman" w:hAnsi="Times New Roman" w:cs="Times New Roman"/>
                <w:spacing w:val="0"/>
                <w:sz w:val="24"/>
                <w:szCs w:val="24"/>
                <w:lang w:eastAsia="zh-CN"/>
              </w:rPr>
              <w:t>冷芯盒制芯（三乙胺）</w:t>
            </w:r>
            <w:r>
              <w:rPr>
                <w:rFonts w:hint="eastAsia" w:cs="Times New Roman"/>
                <w:spacing w:val="0"/>
                <w:sz w:val="24"/>
                <w:szCs w:val="24"/>
                <w:lang w:eastAsia="zh-CN"/>
              </w:rPr>
              <w:t>”</w:t>
            </w:r>
            <w:r>
              <w:rPr>
                <w:rFonts w:hint="default" w:ascii="Times New Roman" w:hAnsi="Times New Roman" w:cs="Times New Roman"/>
                <w:spacing w:val="0"/>
                <w:sz w:val="24"/>
                <w:szCs w:val="24"/>
                <w:lang w:eastAsia="zh-CN"/>
              </w:rPr>
              <w:t>颗粒物产污系数为 0.218kg/t 产品，项目冷芯盒射砂铸造生产线产能为</w:t>
            </w:r>
            <w:r>
              <w:rPr>
                <w:rFonts w:hint="eastAsia" w:cs="Times New Roman"/>
                <w:spacing w:val="0"/>
                <w:sz w:val="24"/>
                <w:szCs w:val="24"/>
                <w:lang w:val="en-US" w:eastAsia="zh-CN"/>
              </w:rPr>
              <w:t>1900</w:t>
            </w:r>
            <w:r>
              <w:rPr>
                <w:rFonts w:hint="default" w:ascii="Times New Roman" w:hAnsi="Times New Roman" w:cs="Times New Roman"/>
                <w:spacing w:val="0"/>
                <w:sz w:val="24"/>
                <w:szCs w:val="24"/>
                <w:lang w:eastAsia="zh-CN"/>
              </w:rPr>
              <w:t>t ，则颗粒物产生量为</w:t>
            </w:r>
            <w:r>
              <w:rPr>
                <w:rFonts w:hint="eastAsia" w:cs="Times New Roman"/>
                <w:spacing w:val="0"/>
                <w:sz w:val="24"/>
                <w:szCs w:val="24"/>
                <w:lang w:val="en-US" w:eastAsia="zh-CN"/>
              </w:rPr>
              <w:t>0.414</w:t>
            </w:r>
            <w:r>
              <w:rPr>
                <w:rFonts w:hint="default" w:ascii="Times New Roman" w:hAnsi="Times New Roman" w:cs="Times New Roman"/>
                <w:spacing w:val="0"/>
                <w:sz w:val="24"/>
                <w:szCs w:val="24"/>
                <w:lang w:eastAsia="zh-CN"/>
              </w:rPr>
              <w:t>t。</w:t>
            </w:r>
          </w:p>
          <w:p>
            <w:pPr>
              <w:keepNext w:val="0"/>
              <w:keepLines w:val="0"/>
              <w:pageBreakBefore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cs="Times New Roman"/>
                <w:b/>
                <w:bCs/>
                <w:spacing w:val="0"/>
                <w:sz w:val="24"/>
                <w:szCs w:val="24"/>
                <w:lang w:eastAsia="zh-CN"/>
              </w:rPr>
            </w:pPr>
            <w:r>
              <w:rPr>
                <w:rFonts w:hint="default" w:ascii="Times New Roman" w:hAnsi="Times New Roman" w:cs="Times New Roman"/>
                <w:b/>
                <w:bCs/>
                <w:spacing w:val="0"/>
                <w:sz w:val="24"/>
                <w:szCs w:val="24"/>
                <w:lang w:eastAsia="zh-CN"/>
              </w:rPr>
              <w:t>冷芯盒设置集气罩收集</w:t>
            </w:r>
            <w:r>
              <w:rPr>
                <w:rFonts w:hint="eastAsia" w:cs="Times New Roman"/>
                <w:b/>
                <w:bCs/>
                <w:spacing w:val="0"/>
                <w:sz w:val="24"/>
                <w:szCs w:val="24"/>
                <w:lang w:eastAsia="zh-CN"/>
              </w:rPr>
              <w:t>，</w:t>
            </w:r>
            <w:r>
              <w:rPr>
                <w:rFonts w:hint="default" w:ascii="Times New Roman" w:hAnsi="Times New Roman" w:cs="Times New Roman"/>
                <w:b/>
                <w:bCs/>
                <w:spacing w:val="0"/>
                <w:sz w:val="24"/>
                <w:szCs w:val="24"/>
                <w:lang w:eastAsia="zh-CN"/>
              </w:rPr>
              <w:t>收集效率 90%，设计风量 5000m</w:t>
            </w:r>
            <w:r>
              <w:rPr>
                <w:rFonts w:hint="default" w:ascii="Times New Roman" w:hAnsi="Times New Roman" w:cs="Times New Roman"/>
                <w:b/>
                <w:bCs/>
                <w:spacing w:val="0"/>
                <w:sz w:val="24"/>
                <w:szCs w:val="24"/>
                <w:vertAlign w:val="superscript"/>
                <w:lang w:eastAsia="zh-CN"/>
              </w:rPr>
              <w:t>3</w:t>
            </w:r>
            <w:r>
              <w:rPr>
                <w:rFonts w:hint="default" w:ascii="Times New Roman" w:hAnsi="Times New Roman" w:cs="Times New Roman"/>
                <w:b/>
                <w:bCs/>
                <w:spacing w:val="0"/>
                <w:sz w:val="24"/>
                <w:szCs w:val="24"/>
                <w:lang w:eastAsia="zh-CN"/>
              </w:rPr>
              <w:t>/h，收集后的废气经</w:t>
            </w:r>
            <w:r>
              <w:rPr>
                <w:rFonts w:hint="eastAsia" w:cs="Times New Roman"/>
                <w:b/>
                <w:bCs/>
                <w:spacing w:val="0"/>
                <w:sz w:val="24"/>
                <w:szCs w:val="24"/>
                <w:lang w:eastAsia="zh-CN"/>
              </w:rPr>
              <w:t>“滤芯除尘器</w:t>
            </w:r>
            <w:r>
              <w:rPr>
                <w:rFonts w:hint="default" w:ascii="Times New Roman" w:hAnsi="Times New Roman" w:cs="Times New Roman"/>
                <w:b/>
                <w:bCs/>
                <w:spacing w:val="0"/>
                <w:sz w:val="24"/>
                <w:szCs w:val="24"/>
                <w:lang w:eastAsia="zh-CN"/>
              </w:rPr>
              <w:t>+磷酸喷淋吸收净化塔</w:t>
            </w:r>
            <w:r>
              <w:rPr>
                <w:rFonts w:hint="eastAsia" w:cs="Times New Roman"/>
                <w:b/>
                <w:bCs/>
                <w:spacing w:val="0"/>
                <w:sz w:val="24"/>
                <w:szCs w:val="24"/>
                <w:lang w:eastAsia="zh-CN"/>
              </w:rPr>
              <w:t>”，</w:t>
            </w:r>
            <w:r>
              <w:rPr>
                <w:rFonts w:hint="default" w:ascii="Times New Roman" w:hAnsi="Times New Roman" w:cs="Times New Roman"/>
                <w:b/>
                <w:bCs/>
                <w:spacing w:val="0"/>
                <w:sz w:val="24"/>
                <w:szCs w:val="24"/>
                <w:lang w:eastAsia="zh-CN"/>
              </w:rPr>
              <w:t>由 15m 高排气筒排放</w:t>
            </w:r>
            <w:r>
              <w:rPr>
                <w:rFonts w:hint="eastAsia" w:cs="Times New Roman"/>
                <w:b/>
                <w:bCs/>
                <w:spacing w:val="0"/>
                <w:sz w:val="24"/>
                <w:szCs w:val="24"/>
                <w:lang w:eastAsia="zh-CN"/>
              </w:rPr>
              <w:t>。</w:t>
            </w:r>
            <w:r>
              <w:rPr>
                <w:rFonts w:hint="default" w:ascii="Times New Roman" w:hAnsi="Times New Roman" w:cs="Times New Roman"/>
                <w:b/>
                <w:bCs/>
                <w:spacing w:val="0"/>
                <w:sz w:val="24"/>
                <w:szCs w:val="24"/>
                <w:lang w:eastAsia="zh-CN"/>
              </w:rPr>
              <w:t>颗粒物处理效率 90%</w:t>
            </w:r>
            <w:r>
              <w:rPr>
                <w:rFonts w:hint="eastAsia" w:cs="Times New Roman"/>
                <w:b/>
                <w:bCs/>
                <w:spacing w:val="0"/>
                <w:sz w:val="24"/>
                <w:szCs w:val="24"/>
                <w:lang w:eastAsia="zh-CN"/>
              </w:rPr>
              <w:t>，</w:t>
            </w:r>
            <w:r>
              <w:rPr>
                <w:rFonts w:hint="default" w:ascii="Times New Roman" w:hAnsi="Times New Roman" w:cs="Times New Roman"/>
                <w:b/>
                <w:bCs/>
                <w:spacing w:val="0"/>
                <w:sz w:val="24"/>
                <w:szCs w:val="24"/>
                <w:lang w:eastAsia="zh-CN"/>
              </w:rPr>
              <w:t xml:space="preserve">三乙胺处理效率 </w:t>
            </w:r>
            <w:r>
              <w:rPr>
                <w:rFonts w:hint="eastAsia" w:cs="Times New Roman"/>
                <w:b/>
                <w:bCs/>
                <w:spacing w:val="0"/>
                <w:sz w:val="24"/>
                <w:szCs w:val="24"/>
                <w:lang w:val="en-US" w:eastAsia="zh-CN"/>
              </w:rPr>
              <w:t>90</w:t>
            </w:r>
            <w:r>
              <w:rPr>
                <w:rFonts w:hint="default" w:ascii="Times New Roman" w:hAnsi="Times New Roman" w:cs="Times New Roman"/>
                <w:b/>
                <w:bCs/>
                <w:spacing w:val="0"/>
                <w:sz w:val="24"/>
                <w:szCs w:val="24"/>
                <w:lang w:eastAsia="zh-CN"/>
              </w:rPr>
              <w:t>%处理</w:t>
            </w:r>
            <w:r>
              <w:rPr>
                <w:rFonts w:hint="eastAsia" w:cs="Times New Roman"/>
                <w:b/>
                <w:bCs/>
                <w:spacing w:val="0"/>
                <w:sz w:val="24"/>
                <w:szCs w:val="24"/>
                <w:lang w:eastAsia="zh-CN"/>
              </w:rPr>
              <w:t>。</w:t>
            </w:r>
          </w:p>
          <w:p>
            <w:pPr>
              <w:keepNext w:val="0"/>
              <w:keepLines w:val="0"/>
              <w:pageBreakBefore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cs="Times New Roman"/>
                <w:b w:val="0"/>
                <w:bCs w:val="0"/>
                <w:spacing w:val="0"/>
                <w:sz w:val="24"/>
                <w:szCs w:val="24"/>
                <w:lang w:eastAsia="zh-CN"/>
              </w:rPr>
            </w:pPr>
            <w:r>
              <w:rPr>
                <w:rFonts w:hint="default" w:ascii="Times New Roman" w:hAnsi="Times New Roman" w:cs="Times New Roman"/>
                <w:b/>
                <w:bCs/>
                <w:spacing w:val="0"/>
                <w:sz w:val="24"/>
                <w:szCs w:val="24"/>
                <w:lang w:eastAsia="zh-CN"/>
              </w:rPr>
              <w:t>冷芯盒射砂工段三乙胺废气无组织排放</w:t>
            </w:r>
            <w:r>
              <w:rPr>
                <w:rFonts w:hint="eastAsia" w:cs="Times New Roman"/>
                <w:b/>
                <w:bCs/>
                <w:spacing w:val="0"/>
                <w:sz w:val="24"/>
                <w:szCs w:val="24"/>
                <w:lang w:val="en-US" w:eastAsia="zh-CN"/>
              </w:rPr>
              <w:t>0.12</w:t>
            </w:r>
            <w:r>
              <w:rPr>
                <w:rFonts w:hint="default" w:ascii="Times New Roman" w:hAnsi="Times New Roman" w:cs="Times New Roman"/>
                <w:b/>
                <w:bCs/>
                <w:spacing w:val="0"/>
                <w:sz w:val="24"/>
                <w:szCs w:val="24"/>
                <w:lang w:eastAsia="zh-CN"/>
              </w:rPr>
              <w:t>t/a ，有组织源强为</w:t>
            </w:r>
            <w:r>
              <w:rPr>
                <w:rFonts w:hint="eastAsia" w:cs="Times New Roman"/>
                <w:b/>
                <w:bCs/>
                <w:spacing w:val="0"/>
                <w:sz w:val="24"/>
                <w:szCs w:val="24"/>
                <w:lang w:val="en-US" w:eastAsia="zh-CN"/>
              </w:rPr>
              <w:t>1.08</w:t>
            </w:r>
            <w:r>
              <w:rPr>
                <w:rFonts w:hint="default" w:ascii="Times New Roman" w:hAnsi="Times New Roman" w:cs="Times New Roman"/>
                <w:b/>
                <w:bCs/>
                <w:spacing w:val="0"/>
                <w:sz w:val="24"/>
                <w:szCs w:val="24"/>
                <w:lang w:eastAsia="zh-CN"/>
              </w:rPr>
              <w:t>t/a，有组织排放量为</w:t>
            </w:r>
            <w:r>
              <w:rPr>
                <w:rFonts w:hint="eastAsia" w:cs="Times New Roman"/>
                <w:b/>
                <w:bCs/>
                <w:spacing w:val="0"/>
                <w:sz w:val="24"/>
                <w:szCs w:val="24"/>
                <w:lang w:val="en-US" w:eastAsia="zh-CN"/>
              </w:rPr>
              <w:t>0.108</w:t>
            </w:r>
            <w:r>
              <w:rPr>
                <w:rFonts w:hint="default" w:ascii="Times New Roman" w:hAnsi="Times New Roman" w:cs="Times New Roman"/>
                <w:b/>
                <w:bCs/>
                <w:spacing w:val="0"/>
                <w:sz w:val="24"/>
                <w:szCs w:val="24"/>
                <w:lang w:eastAsia="zh-CN"/>
              </w:rPr>
              <w:t>t/a，排放速率为</w:t>
            </w:r>
            <w:r>
              <w:rPr>
                <w:rFonts w:hint="eastAsia" w:cs="Times New Roman"/>
                <w:b/>
                <w:bCs/>
                <w:spacing w:val="0"/>
                <w:sz w:val="24"/>
                <w:szCs w:val="24"/>
                <w:lang w:val="en-US" w:eastAsia="zh-CN"/>
              </w:rPr>
              <w:t xml:space="preserve">0.09 </w:t>
            </w:r>
            <w:r>
              <w:rPr>
                <w:rFonts w:hint="default" w:ascii="Times New Roman" w:hAnsi="Times New Roman" w:cs="Times New Roman"/>
                <w:b/>
                <w:bCs/>
                <w:spacing w:val="0"/>
                <w:sz w:val="24"/>
                <w:szCs w:val="24"/>
                <w:lang w:eastAsia="zh-CN"/>
              </w:rPr>
              <w:t>kg/h，排放浓度为</w:t>
            </w:r>
            <w:r>
              <w:rPr>
                <w:rFonts w:hint="eastAsia" w:cs="Times New Roman"/>
                <w:b/>
                <w:bCs/>
                <w:spacing w:val="0"/>
                <w:sz w:val="24"/>
                <w:szCs w:val="24"/>
                <w:lang w:val="en-US" w:eastAsia="zh-CN"/>
              </w:rPr>
              <w:t xml:space="preserve">18 </w:t>
            </w:r>
            <w:r>
              <w:rPr>
                <w:rFonts w:hint="default" w:ascii="Times New Roman" w:hAnsi="Times New Roman" w:cs="Times New Roman"/>
                <w:b/>
                <w:bCs/>
                <w:spacing w:val="0"/>
                <w:sz w:val="24"/>
                <w:szCs w:val="24"/>
                <w:lang w:eastAsia="zh-CN"/>
              </w:rPr>
              <w:t>mg/m</w:t>
            </w:r>
            <w:r>
              <w:rPr>
                <w:rFonts w:hint="default" w:ascii="Times New Roman" w:hAnsi="Times New Roman" w:cs="Times New Roman"/>
                <w:b/>
                <w:bCs/>
                <w:spacing w:val="0"/>
                <w:sz w:val="24"/>
                <w:szCs w:val="24"/>
                <w:vertAlign w:val="superscript"/>
                <w:lang w:eastAsia="zh-CN"/>
              </w:rPr>
              <w:t>3</w:t>
            </w:r>
            <w:r>
              <w:rPr>
                <w:rFonts w:hint="default" w:ascii="Times New Roman" w:hAnsi="Times New Roman" w:cs="Times New Roman"/>
                <w:b/>
                <w:bCs/>
                <w:spacing w:val="0"/>
                <w:sz w:val="24"/>
                <w:szCs w:val="24"/>
                <w:lang w:eastAsia="zh-CN"/>
              </w:rPr>
              <w:t>；</w:t>
            </w:r>
            <w:r>
              <w:rPr>
                <w:rFonts w:hint="default" w:ascii="Times New Roman" w:hAnsi="Times New Roman" w:cs="Times New Roman"/>
                <w:b w:val="0"/>
                <w:bCs w:val="0"/>
                <w:spacing w:val="0"/>
                <w:sz w:val="24"/>
                <w:szCs w:val="24"/>
                <w:lang w:eastAsia="zh-CN"/>
              </w:rPr>
              <w:t>颗粒物无组织排放</w:t>
            </w:r>
            <w:r>
              <w:rPr>
                <w:rFonts w:hint="eastAsia" w:cs="Times New Roman"/>
                <w:b w:val="0"/>
                <w:bCs w:val="0"/>
                <w:spacing w:val="0"/>
                <w:sz w:val="24"/>
                <w:szCs w:val="24"/>
                <w:lang w:val="en-US" w:eastAsia="zh-CN"/>
              </w:rPr>
              <w:t xml:space="preserve">0.041 </w:t>
            </w:r>
            <w:r>
              <w:rPr>
                <w:rFonts w:hint="default" w:ascii="Times New Roman" w:hAnsi="Times New Roman" w:cs="Times New Roman"/>
                <w:b w:val="0"/>
                <w:bCs w:val="0"/>
                <w:spacing w:val="0"/>
                <w:sz w:val="24"/>
                <w:szCs w:val="24"/>
                <w:lang w:eastAsia="zh-CN"/>
              </w:rPr>
              <w:t>t/a ，有组织源强为</w:t>
            </w:r>
            <w:r>
              <w:rPr>
                <w:rFonts w:hint="eastAsia" w:cs="Times New Roman"/>
                <w:b w:val="0"/>
                <w:bCs w:val="0"/>
                <w:spacing w:val="0"/>
                <w:sz w:val="24"/>
                <w:szCs w:val="24"/>
                <w:lang w:val="en-US" w:eastAsia="zh-CN"/>
              </w:rPr>
              <w:t>0.373</w:t>
            </w:r>
            <w:r>
              <w:rPr>
                <w:rFonts w:hint="default" w:ascii="Times New Roman" w:hAnsi="Times New Roman" w:cs="Times New Roman"/>
                <w:b w:val="0"/>
                <w:bCs w:val="0"/>
                <w:spacing w:val="0"/>
                <w:sz w:val="24"/>
                <w:szCs w:val="24"/>
                <w:lang w:eastAsia="zh-CN"/>
              </w:rPr>
              <w:t>t/a，有组织排放量为</w:t>
            </w:r>
            <w:r>
              <w:rPr>
                <w:rFonts w:hint="eastAsia" w:cs="Times New Roman"/>
                <w:b w:val="0"/>
                <w:bCs w:val="0"/>
                <w:spacing w:val="0"/>
                <w:sz w:val="24"/>
                <w:szCs w:val="24"/>
                <w:lang w:val="en-US" w:eastAsia="zh-CN"/>
              </w:rPr>
              <w:t>0.037</w:t>
            </w:r>
            <w:r>
              <w:rPr>
                <w:rFonts w:hint="default" w:ascii="Times New Roman" w:hAnsi="Times New Roman" w:cs="Times New Roman"/>
                <w:b w:val="0"/>
                <w:bCs w:val="0"/>
                <w:spacing w:val="0"/>
                <w:sz w:val="24"/>
                <w:szCs w:val="24"/>
                <w:lang w:eastAsia="zh-CN"/>
              </w:rPr>
              <w:t>t/a，排放速率为</w:t>
            </w:r>
            <w:r>
              <w:rPr>
                <w:rFonts w:hint="eastAsia" w:cs="Times New Roman"/>
                <w:b w:val="0"/>
                <w:bCs w:val="0"/>
                <w:spacing w:val="0"/>
                <w:sz w:val="24"/>
                <w:szCs w:val="24"/>
                <w:lang w:val="en-US" w:eastAsia="zh-CN"/>
              </w:rPr>
              <w:t xml:space="preserve">0.03 </w:t>
            </w:r>
            <w:r>
              <w:rPr>
                <w:rFonts w:hint="default" w:ascii="Times New Roman" w:hAnsi="Times New Roman" w:cs="Times New Roman"/>
                <w:b w:val="0"/>
                <w:bCs w:val="0"/>
                <w:spacing w:val="0"/>
                <w:sz w:val="24"/>
                <w:szCs w:val="24"/>
                <w:lang w:eastAsia="zh-CN"/>
              </w:rPr>
              <w:t>kg/h，排放浓度为</w:t>
            </w:r>
            <w:r>
              <w:rPr>
                <w:rFonts w:hint="eastAsia" w:cs="Times New Roman"/>
                <w:b w:val="0"/>
                <w:bCs w:val="0"/>
                <w:spacing w:val="0"/>
                <w:sz w:val="24"/>
                <w:szCs w:val="24"/>
                <w:lang w:val="en-US" w:eastAsia="zh-CN"/>
              </w:rPr>
              <w:t xml:space="preserve">6.17 </w:t>
            </w:r>
            <w:r>
              <w:rPr>
                <w:rFonts w:hint="default" w:ascii="Times New Roman" w:hAnsi="Times New Roman" w:cs="Times New Roman"/>
                <w:b w:val="0"/>
                <w:bCs w:val="0"/>
                <w:spacing w:val="0"/>
                <w:sz w:val="24"/>
                <w:szCs w:val="24"/>
                <w:lang w:eastAsia="zh-CN"/>
              </w:rPr>
              <w:t>mg/m</w:t>
            </w:r>
            <w:r>
              <w:rPr>
                <w:rFonts w:hint="default" w:ascii="Times New Roman" w:hAnsi="Times New Roman" w:cs="Times New Roman"/>
                <w:b w:val="0"/>
                <w:bCs w:val="0"/>
                <w:spacing w:val="0"/>
                <w:sz w:val="24"/>
                <w:szCs w:val="24"/>
                <w:vertAlign w:val="superscript"/>
                <w:lang w:eastAsia="zh-CN"/>
              </w:rPr>
              <w:t>3</w:t>
            </w:r>
            <w:r>
              <w:rPr>
                <w:rFonts w:hint="default" w:ascii="Times New Roman" w:hAnsi="Times New Roman" w:cs="Times New Roman"/>
                <w:b w:val="0"/>
                <w:bCs w:val="0"/>
                <w:spacing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62" w:firstLineChars="200"/>
              <w:textAlignment w:val="auto"/>
              <w:rPr>
                <w:rFonts w:hint="default" w:ascii="Times New Roman" w:hAnsi="Times New Roman" w:cs="Times New Roman"/>
                <w:b/>
                <w:bCs/>
                <w:spacing w:val="-5"/>
                <w:sz w:val="24"/>
                <w:szCs w:val="24"/>
                <w:lang w:val="en-US" w:eastAsia="zh-CN"/>
              </w:rPr>
            </w:pPr>
            <w:r>
              <w:rPr>
                <w:rFonts w:hint="eastAsia" w:ascii="Times New Roman" w:hAnsi="Times New Roman" w:cs="Times New Roman"/>
                <w:b/>
                <w:bCs/>
                <w:spacing w:val="-5"/>
                <w:sz w:val="24"/>
                <w:szCs w:val="24"/>
                <w:lang w:val="en-US" w:eastAsia="zh-CN"/>
              </w:rPr>
              <w:t>（</w:t>
            </w:r>
            <w:r>
              <w:rPr>
                <w:rFonts w:hint="eastAsia" w:cs="Times New Roman"/>
                <w:b/>
                <w:bCs/>
                <w:spacing w:val="-5"/>
                <w:sz w:val="24"/>
                <w:szCs w:val="24"/>
                <w:lang w:val="en-US" w:eastAsia="zh-CN"/>
              </w:rPr>
              <w:t>4</w:t>
            </w:r>
            <w:r>
              <w:rPr>
                <w:rFonts w:hint="eastAsia" w:ascii="Times New Roman" w:hAnsi="Times New Roman" w:cs="Times New Roman"/>
                <w:b/>
                <w:bCs/>
                <w:spacing w:val="-5"/>
                <w:sz w:val="24"/>
                <w:szCs w:val="24"/>
                <w:lang w:val="en-US" w:eastAsia="zh-CN"/>
              </w:rPr>
              <w:t>）铸件抛丸清理废气</w:t>
            </w:r>
          </w:p>
          <w:p>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 xml:space="preserve">项目设置 </w:t>
            </w:r>
            <w:r>
              <w:rPr>
                <w:rFonts w:hint="default" w:ascii="Times New Roman" w:hAnsi="Times New Roman" w:eastAsia="宋体" w:cs="Times New Roman"/>
                <w:spacing w:val="0"/>
                <w:sz w:val="24"/>
                <w:szCs w:val="24"/>
                <w:lang w:val="en-US" w:eastAsia="zh-CN"/>
              </w:rPr>
              <w:t>1</w:t>
            </w:r>
            <w:r>
              <w:rPr>
                <w:rFonts w:hint="default" w:ascii="Times New Roman" w:hAnsi="Times New Roman" w:eastAsia="宋体" w:cs="Times New Roman"/>
                <w:spacing w:val="0"/>
                <w:sz w:val="24"/>
                <w:szCs w:val="24"/>
              </w:rPr>
              <w:t>台</w:t>
            </w:r>
            <w:r>
              <w:rPr>
                <w:rFonts w:hint="default" w:ascii="Times New Roman" w:hAnsi="Times New Roman" w:eastAsia="宋体" w:cs="Times New Roman"/>
                <w:spacing w:val="0"/>
                <w:sz w:val="24"/>
                <w:szCs w:val="24"/>
                <w:lang w:eastAsia="zh-CN"/>
              </w:rPr>
              <w:t>铸件抛丸清理</w:t>
            </w:r>
            <w:r>
              <w:rPr>
                <w:rFonts w:hint="default" w:ascii="Times New Roman" w:hAnsi="Times New Roman" w:eastAsia="宋体" w:cs="Times New Roman"/>
                <w:spacing w:val="0"/>
                <w:sz w:val="24"/>
                <w:szCs w:val="24"/>
              </w:rPr>
              <w:t>机</w:t>
            </w:r>
            <w:r>
              <w:rPr>
                <w:rFonts w:hint="default" w:ascii="Times New Roman" w:hAnsi="Times New Roman" w:eastAsia="宋体" w:cs="Times New Roman"/>
                <w:spacing w:val="0"/>
                <w:sz w:val="24"/>
                <w:szCs w:val="24"/>
                <w:lang w:eastAsia="zh-CN"/>
              </w:rPr>
              <w:t>，</w:t>
            </w:r>
            <w:r>
              <w:rPr>
                <w:rFonts w:hint="eastAsia" w:cs="Times New Roman"/>
                <w:spacing w:val="0"/>
                <w:sz w:val="24"/>
                <w:szCs w:val="24"/>
                <w:lang w:val="en-US" w:eastAsia="zh-CN"/>
              </w:rPr>
              <w:t>抛丸工段工作时间为9h/d，2700h/a</w:t>
            </w:r>
            <w:r>
              <w:rPr>
                <w:rFonts w:hint="default" w:ascii="Times New Roman" w:hAnsi="Times New Roman" w:eastAsia="宋体" w:cs="Times New Roman"/>
                <w:spacing w:val="0"/>
                <w:sz w:val="24"/>
                <w:szCs w:val="24"/>
              </w:rPr>
              <w:t>。</w:t>
            </w:r>
            <w:r>
              <w:rPr>
                <w:rFonts w:hint="default" w:ascii="Times New Roman" w:hAnsi="Times New Roman" w:eastAsia="宋体" w:cs="Times New Roman"/>
                <w:spacing w:val="0"/>
                <w:sz w:val="24"/>
                <w:szCs w:val="24"/>
                <w:lang w:eastAsia="zh-CN"/>
              </w:rPr>
              <w:t>铸件抛丸清理</w:t>
            </w:r>
            <w:r>
              <w:rPr>
                <w:rFonts w:hint="default" w:ascii="Times New Roman" w:hAnsi="Times New Roman" w:eastAsia="宋体" w:cs="Times New Roman"/>
                <w:spacing w:val="0"/>
                <w:sz w:val="24"/>
                <w:szCs w:val="24"/>
              </w:rPr>
              <w:t>工件重量约为</w:t>
            </w:r>
            <w:r>
              <w:rPr>
                <w:rFonts w:hint="default" w:ascii="Times New Roman" w:hAnsi="Times New Roman" w:eastAsia="宋体" w:cs="Times New Roman"/>
                <w:spacing w:val="0"/>
                <w:sz w:val="24"/>
                <w:szCs w:val="24"/>
                <w:lang w:val="en-US" w:eastAsia="zh-CN"/>
              </w:rPr>
              <w:t>19</w:t>
            </w:r>
            <w:r>
              <w:rPr>
                <w:rFonts w:hint="default" w:ascii="Times New Roman" w:hAnsi="Times New Roman" w:eastAsia="宋体" w:cs="Times New Roman"/>
                <w:spacing w:val="0"/>
                <w:sz w:val="24"/>
                <w:szCs w:val="24"/>
              </w:rPr>
              <w:t>00t/a。根据《排放源统计调查产排污核算方案和系数手册》中“机械行业技术手册”的产污系数，</w:t>
            </w:r>
            <w:r>
              <w:rPr>
                <w:rFonts w:hint="default" w:ascii="Times New Roman" w:hAnsi="Times New Roman" w:eastAsia="宋体" w:cs="Times New Roman"/>
                <w:spacing w:val="0"/>
                <w:sz w:val="24"/>
                <w:szCs w:val="24"/>
                <w:lang w:eastAsia="zh-CN"/>
              </w:rPr>
              <w:t>铸件抛丸清理</w:t>
            </w:r>
            <w:r>
              <w:rPr>
                <w:rFonts w:hint="default" w:ascii="Times New Roman" w:hAnsi="Times New Roman" w:eastAsia="宋体" w:cs="Times New Roman"/>
                <w:spacing w:val="0"/>
                <w:sz w:val="24"/>
                <w:szCs w:val="24"/>
              </w:rPr>
              <w:t>工段粉尘产生量以2.19kg/t·原料计，则</w:t>
            </w:r>
            <w:r>
              <w:rPr>
                <w:rFonts w:hint="default" w:ascii="Times New Roman" w:hAnsi="Times New Roman" w:eastAsia="宋体" w:cs="Times New Roman"/>
                <w:spacing w:val="0"/>
                <w:sz w:val="24"/>
                <w:szCs w:val="24"/>
                <w:lang w:eastAsia="zh-CN"/>
              </w:rPr>
              <w:t>铸件抛丸清理</w:t>
            </w:r>
            <w:r>
              <w:rPr>
                <w:rFonts w:hint="default" w:ascii="Times New Roman" w:hAnsi="Times New Roman" w:eastAsia="宋体" w:cs="Times New Roman"/>
                <w:spacing w:val="0"/>
                <w:sz w:val="24"/>
                <w:szCs w:val="24"/>
              </w:rPr>
              <w:t>过程中产生的粉尘量为</w:t>
            </w:r>
            <w:r>
              <w:rPr>
                <w:rFonts w:hint="default" w:ascii="Times New Roman" w:hAnsi="Times New Roman" w:eastAsia="宋体" w:cs="Times New Roman"/>
                <w:spacing w:val="0"/>
                <w:sz w:val="24"/>
                <w:szCs w:val="24"/>
                <w:lang w:val="en-US" w:eastAsia="zh-CN"/>
              </w:rPr>
              <w:t xml:space="preserve">4.16 </w:t>
            </w:r>
            <w:r>
              <w:rPr>
                <w:rFonts w:hint="default" w:ascii="Times New Roman" w:hAnsi="Times New Roman" w:eastAsia="宋体" w:cs="Times New Roman"/>
                <w:spacing w:val="0"/>
                <w:sz w:val="24"/>
                <w:szCs w:val="24"/>
              </w:rPr>
              <w:t>t/a。</w:t>
            </w:r>
          </w:p>
          <w:p>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lang w:eastAsia="zh-CN"/>
              </w:rPr>
              <w:t>抛丸清</w:t>
            </w:r>
            <w:r>
              <w:rPr>
                <w:rFonts w:hint="eastAsia" w:ascii="Times New Roman" w:hAnsi="Times New Roman" w:eastAsia="宋体" w:cs="Times New Roman"/>
                <w:spacing w:val="0"/>
                <w:sz w:val="24"/>
                <w:szCs w:val="24"/>
                <w:lang w:val="en-US" w:eastAsia="zh-CN"/>
              </w:rPr>
              <w:t>理</w:t>
            </w:r>
            <w:r>
              <w:rPr>
                <w:rFonts w:hint="default" w:ascii="Times New Roman" w:hAnsi="Times New Roman" w:eastAsia="宋体" w:cs="Times New Roman"/>
                <w:spacing w:val="0"/>
                <w:sz w:val="24"/>
                <w:szCs w:val="24"/>
                <w:lang w:eastAsia="zh-CN"/>
              </w:rPr>
              <w:t>工序在抛丸机内封闭抛丸，废气经设备自带脉冲布袋除尘设施处理后</w:t>
            </w:r>
            <w:r>
              <w:rPr>
                <w:rFonts w:hint="default" w:ascii="Times New Roman" w:hAnsi="Times New Roman" w:eastAsia="宋体" w:cs="Times New Roman"/>
                <w:spacing w:val="0"/>
                <w:sz w:val="24"/>
                <w:szCs w:val="24"/>
                <w:lang w:val="en-US" w:eastAsia="zh-CN"/>
              </w:rPr>
              <w:t>经</w:t>
            </w:r>
            <w:r>
              <w:rPr>
                <w:rFonts w:hint="default" w:ascii="Times New Roman" w:hAnsi="Times New Roman" w:eastAsia="宋体" w:cs="Times New Roman"/>
                <w:spacing w:val="0"/>
                <w:sz w:val="24"/>
                <w:szCs w:val="24"/>
              </w:rPr>
              <w:t xml:space="preserve"> 1 根 15m</w:t>
            </w:r>
            <w:r>
              <w:rPr>
                <w:rFonts w:hint="default" w:ascii="Times New Roman" w:hAnsi="Times New Roman" w:eastAsia="宋体" w:cs="Times New Roman"/>
                <w:spacing w:val="0"/>
                <w:w w:val="101"/>
                <w:sz w:val="24"/>
                <w:szCs w:val="24"/>
              </w:rPr>
              <w:t xml:space="preserve"> </w:t>
            </w:r>
            <w:r>
              <w:rPr>
                <w:rFonts w:hint="default" w:ascii="Times New Roman" w:hAnsi="Times New Roman" w:eastAsia="宋体" w:cs="Times New Roman"/>
                <w:spacing w:val="0"/>
                <w:sz w:val="24"/>
                <w:szCs w:val="24"/>
              </w:rPr>
              <w:t>排气筒有组织排放</w:t>
            </w:r>
            <w:r>
              <w:rPr>
                <w:rFonts w:hint="eastAsia" w:ascii="Times New Roman" w:hAnsi="Times New Roman" w:eastAsia="宋体" w:cs="Times New Roman"/>
                <w:spacing w:val="0"/>
                <w:sz w:val="24"/>
                <w:szCs w:val="24"/>
                <w:lang w:eastAsia="zh-CN"/>
              </w:rPr>
              <w:t>，</w:t>
            </w:r>
            <w:r>
              <w:rPr>
                <w:rFonts w:hint="default" w:ascii="Times New Roman" w:hAnsi="Times New Roman" w:eastAsia="宋体" w:cs="Times New Roman"/>
                <w:spacing w:val="0"/>
                <w:sz w:val="24"/>
                <w:szCs w:val="24"/>
              </w:rPr>
              <w:t>处理效率为 99%，风量为</w:t>
            </w:r>
            <w:r>
              <w:rPr>
                <w:rFonts w:hint="default" w:ascii="Times New Roman" w:hAnsi="Times New Roman" w:eastAsia="宋体" w:cs="Times New Roman"/>
                <w:spacing w:val="0"/>
                <w:sz w:val="24"/>
                <w:szCs w:val="24"/>
                <w:lang w:val="en-US" w:eastAsia="zh-CN"/>
              </w:rPr>
              <w:t>60</w:t>
            </w:r>
            <w:r>
              <w:rPr>
                <w:rFonts w:hint="default" w:ascii="Times New Roman" w:hAnsi="Times New Roman" w:eastAsia="宋体" w:cs="Times New Roman"/>
                <w:spacing w:val="0"/>
                <w:sz w:val="24"/>
                <w:szCs w:val="24"/>
              </w:rPr>
              <w:t>00m</w:t>
            </w:r>
            <w:r>
              <w:rPr>
                <w:rFonts w:hint="default" w:ascii="Times New Roman" w:hAnsi="Times New Roman" w:eastAsia="宋体" w:cs="Times New Roman"/>
                <w:spacing w:val="0"/>
                <w:position w:val="9"/>
                <w:sz w:val="16"/>
                <w:szCs w:val="16"/>
              </w:rPr>
              <w:t>3</w:t>
            </w:r>
            <w:r>
              <w:rPr>
                <w:rFonts w:hint="default" w:ascii="Times New Roman" w:hAnsi="Times New Roman" w:eastAsia="宋体" w:cs="Times New Roman"/>
                <w:spacing w:val="0"/>
                <w:sz w:val="24"/>
                <w:szCs w:val="24"/>
              </w:rPr>
              <w:t>/h。</w:t>
            </w:r>
            <w:r>
              <w:rPr>
                <w:rFonts w:hint="default" w:ascii="Times New Roman" w:hAnsi="Times New Roman" w:eastAsia="宋体" w:cs="Times New Roman"/>
                <w:spacing w:val="0"/>
                <w:sz w:val="24"/>
                <w:szCs w:val="24"/>
                <w:lang w:eastAsia="zh-CN"/>
              </w:rPr>
              <w:t>抛丸清</w:t>
            </w:r>
            <w:r>
              <w:rPr>
                <w:rFonts w:hint="eastAsia" w:ascii="Times New Roman" w:hAnsi="Times New Roman" w:eastAsia="宋体" w:cs="Times New Roman"/>
                <w:spacing w:val="0"/>
                <w:sz w:val="24"/>
                <w:szCs w:val="24"/>
                <w:lang w:val="en-US" w:eastAsia="zh-CN"/>
              </w:rPr>
              <w:t>理</w:t>
            </w:r>
            <w:r>
              <w:rPr>
                <w:rFonts w:hint="eastAsia" w:cs="Times New Roman"/>
                <w:spacing w:val="0"/>
                <w:sz w:val="24"/>
                <w:szCs w:val="24"/>
                <w:lang w:val="en-US" w:eastAsia="zh-CN"/>
              </w:rPr>
              <w:t>废气</w:t>
            </w:r>
            <w:r>
              <w:rPr>
                <w:rFonts w:hint="default" w:ascii="Times New Roman" w:hAnsi="Times New Roman" w:eastAsia="宋体" w:cs="Times New Roman"/>
                <w:spacing w:val="0"/>
                <w:sz w:val="24"/>
                <w:szCs w:val="24"/>
              </w:rPr>
              <w:t>有组织源强为</w:t>
            </w:r>
            <w:r>
              <w:rPr>
                <w:rFonts w:hint="default" w:ascii="Times New Roman" w:hAnsi="Times New Roman" w:eastAsia="宋体" w:cs="Times New Roman"/>
                <w:spacing w:val="0"/>
                <w:sz w:val="24"/>
                <w:szCs w:val="24"/>
                <w:lang w:val="en-US" w:eastAsia="zh-CN"/>
              </w:rPr>
              <w:t xml:space="preserve">0.04 </w:t>
            </w:r>
            <w:r>
              <w:rPr>
                <w:rFonts w:hint="default" w:ascii="Times New Roman" w:hAnsi="Times New Roman" w:eastAsia="宋体" w:cs="Times New Roman"/>
                <w:spacing w:val="0"/>
                <w:sz w:val="24"/>
                <w:szCs w:val="24"/>
              </w:rPr>
              <w:t>t/a</w:t>
            </w:r>
            <w:r>
              <w:rPr>
                <w:rFonts w:hint="default" w:ascii="Times New Roman" w:hAnsi="Times New Roman" w:eastAsia="宋体" w:cs="Times New Roman"/>
                <w:spacing w:val="0"/>
                <w:sz w:val="24"/>
                <w:szCs w:val="24"/>
                <w:lang w:eastAsia="zh-CN"/>
              </w:rPr>
              <w:t>，</w:t>
            </w:r>
            <w:r>
              <w:rPr>
                <w:rFonts w:hint="default" w:ascii="Times New Roman" w:hAnsi="Times New Roman" w:eastAsia="宋体" w:cs="Times New Roman"/>
                <w:spacing w:val="0"/>
                <w:sz w:val="24"/>
                <w:szCs w:val="24"/>
              </w:rPr>
              <w:t>排放速率为</w:t>
            </w:r>
            <w:r>
              <w:rPr>
                <w:rFonts w:hint="default" w:ascii="Times New Roman" w:hAnsi="Times New Roman" w:eastAsia="宋体" w:cs="Times New Roman"/>
                <w:spacing w:val="0"/>
                <w:sz w:val="24"/>
                <w:szCs w:val="24"/>
                <w:lang w:val="en-US" w:eastAsia="zh-CN"/>
              </w:rPr>
              <w:t>0.015</w:t>
            </w:r>
            <w:r>
              <w:rPr>
                <w:rFonts w:hint="default" w:ascii="Times New Roman" w:hAnsi="Times New Roman" w:eastAsia="宋体" w:cs="Times New Roman"/>
                <w:spacing w:val="0"/>
                <w:sz w:val="24"/>
                <w:szCs w:val="24"/>
              </w:rPr>
              <w:t>kg/h，排放浓度为</w:t>
            </w:r>
            <w:r>
              <w:rPr>
                <w:rFonts w:hint="default" w:ascii="Times New Roman" w:hAnsi="Times New Roman" w:eastAsia="宋体" w:cs="Times New Roman"/>
                <w:spacing w:val="0"/>
                <w:sz w:val="24"/>
                <w:szCs w:val="24"/>
                <w:lang w:val="en-US" w:eastAsia="zh-CN"/>
              </w:rPr>
              <w:t>2.5</w:t>
            </w:r>
            <w:r>
              <w:rPr>
                <w:rFonts w:hint="default" w:ascii="Times New Roman" w:hAnsi="Times New Roman" w:eastAsia="宋体" w:cs="Times New Roman"/>
                <w:spacing w:val="0"/>
                <w:sz w:val="24"/>
                <w:szCs w:val="24"/>
              </w:rPr>
              <w:t>mg/m</w:t>
            </w:r>
            <w:r>
              <w:rPr>
                <w:rFonts w:hint="default" w:ascii="Times New Roman" w:hAnsi="Times New Roman" w:eastAsia="宋体" w:cs="Times New Roman"/>
                <w:spacing w:val="0"/>
                <w:position w:val="9"/>
                <w:sz w:val="16"/>
                <w:szCs w:val="16"/>
              </w:rPr>
              <w:t>3</w:t>
            </w:r>
            <w:r>
              <w:rPr>
                <w:rFonts w:hint="default" w:ascii="Times New Roman" w:hAnsi="Times New Roman" w:eastAsia="宋体" w:cs="Times New Roman"/>
                <w:spacing w:val="0"/>
                <w:sz w:val="24"/>
                <w:szCs w:val="24"/>
              </w:rPr>
              <w:t>。</w:t>
            </w:r>
          </w:p>
          <w:p>
            <w:pPr>
              <w:pStyle w:val="72"/>
              <w:bidi w:val="0"/>
              <w:rPr>
                <w:rFonts w:hint="eastAsia"/>
                <w:b/>
                <w:bCs/>
                <w:color w:val="auto"/>
                <w:lang w:val="en-US" w:eastAsia="zh-CN"/>
              </w:rPr>
            </w:pPr>
            <w:r>
              <w:rPr>
                <w:rFonts w:hint="eastAsia"/>
                <w:b/>
                <w:bCs/>
                <w:color w:val="auto"/>
                <w:lang w:val="en-US" w:eastAsia="zh-CN"/>
              </w:rPr>
              <w:t>1.2废气污染治理设施可行性分析</w:t>
            </w:r>
          </w:p>
          <w:p>
            <w:pPr>
              <w:pStyle w:val="72"/>
              <w:bidi w:val="0"/>
              <w:rPr>
                <w:rFonts w:hint="eastAsia"/>
                <w:b/>
                <w:bCs/>
                <w:lang w:val="en-US" w:eastAsia="zh-CN"/>
              </w:rPr>
            </w:pPr>
            <w:r>
              <w:rPr>
                <w:rFonts w:hint="eastAsia"/>
                <w:b/>
                <w:bCs/>
                <w:lang w:val="en-US" w:eastAsia="zh-CN"/>
              </w:rPr>
              <w:t>1.2.1三乙胺废气处理工艺</w:t>
            </w:r>
          </w:p>
          <w:p>
            <w:pPr>
              <w:pStyle w:val="72"/>
              <w:bidi w:val="0"/>
              <w:rPr>
                <w:rFonts w:hint="eastAsia"/>
                <w:lang w:val="en-US" w:eastAsia="zh-CN"/>
              </w:rPr>
            </w:pPr>
            <w:r>
              <w:rPr>
                <w:rFonts w:hint="eastAsia"/>
                <w:lang w:val="en-US" w:eastAsia="zh-CN"/>
              </w:rPr>
              <w:t>根据《三乙胺废气处理工程技术应用》，本项目拟采用集气罩收集冷芯盒射芯机产生的废气，进入滤芯除尘器去除砂粒，进入净化塔处理后经15m高排气筒排放。三乙胺处理效果可达到 99%，保守处理效果取90%。</w:t>
            </w:r>
          </w:p>
          <w:p>
            <w:pPr>
              <w:pStyle w:val="72"/>
              <w:bidi w:val="0"/>
              <w:rPr>
                <w:rFonts w:hint="default"/>
                <w:b/>
                <w:bCs/>
                <w:lang w:val="en-US" w:eastAsia="zh-CN"/>
              </w:rPr>
            </w:pPr>
            <w:r>
              <w:rPr>
                <w:rFonts w:hint="eastAsia"/>
                <w:b/>
                <w:bCs/>
                <w:lang w:val="en-US" w:eastAsia="zh-CN"/>
              </w:rPr>
              <w:t>（1）工艺原理</w:t>
            </w:r>
          </w:p>
          <w:p>
            <w:pPr>
              <w:pStyle w:val="72"/>
              <w:bidi w:val="0"/>
              <w:rPr>
                <w:rFonts w:hint="eastAsia"/>
                <w:lang w:val="en-US" w:eastAsia="zh-CN"/>
              </w:rPr>
            </w:pPr>
            <w:r>
              <w:rPr>
                <w:rFonts w:hint="eastAsia"/>
                <w:lang w:val="en-US" w:eastAsia="zh-CN"/>
              </w:rPr>
              <w:t>由于三乙胺废气呈碱性，因此采用磷酸与其发生中和反应生成三乙胺磷酸盐，达到净化作用。</w:t>
            </w:r>
          </w:p>
          <w:p>
            <w:pPr>
              <w:pStyle w:val="72"/>
              <w:bidi w:val="0"/>
              <w:rPr>
                <w:rFonts w:hint="default"/>
                <w:lang w:val="en-US" w:eastAsia="zh-CN"/>
              </w:rPr>
            </w:pPr>
            <w:r>
              <w:rPr>
                <w:rFonts w:hint="eastAsia"/>
                <w:lang w:val="en-US" w:eastAsia="zh-CN"/>
              </w:rPr>
              <w:t>（CH</w:t>
            </w:r>
            <w:r>
              <w:rPr>
                <w:rFonts w:hint="eastAsia"/>
                <w:vertAlign w:val="subscript"/>
                <w:lang w:val="en-US" w:eastAsia="zh-CN"/>
              </w:rPr>
              <w:t>3</w:t>
            </w:r>
            <w:r>
              <w:rPr>
                <w:rFonts w:hint="eastAsia"/>
                <w:lang w:val="en-US" w:eastAsia="zh-CN"/>
              </w:rPr>
              <w:t>CH</w:t>
            </w:r>
            <w:r>
              <w:rPr>
                <w:rFonts w:hint="eastAsia"/>
                <w:vertAlign w:val="subscript"/>
                <w:lang w:val="en-US" w:eastAsia="zh-CN"/>
              </w:rPr>
              <w:t>2</w:t>
            </w:r>
            <w:r>
              <w:rPr>
                <w:rFonts w:hint="eastAsia"/>
                <w:lang w:val="en-US" w:eastAsia="zh-CN"/>
              </w:rPr>
              <w:t>）N+H</w:t>
            </w:r>
            <w:r>
              <w:rPr>
                <w:rFonts w:hint="eastAsia"/>
                <w:vertAlign w:val="subscript"/>
                <w:lang w:val="en-US" w:eastAsia="zh-CN"/>
              </w:rPr>
              <w:t>3</w:t>
            </w:r>
            <w:r>
              <w:rPr>
                <w:rFonts w:hint="eastAsia"/>
                <w:lang w:val="en-US" w:eastAsia="zh-CN"/>
              </w:rPr>
              <w:t>PO</w:t>
            </w:r>
            <w:r>
              <w:rPr>
                <w:rFonts w:hint="eastAsia"/>
                <w:vertAlign w:val="subscript"/>
                <w:lang w:val="en-US" w:eastAsia="zh-CN"/>
              </w:rPr>
              <w:t>4</w:t>
            </w:r>
            <w:r>
              <w:rPr>
                <w:rFonts w:hint="default" w:ascii="Arial" w:hAnsi="Arial" w:cs="Arial"/>
                <w:lang w:val="en-US" w:eastAsia="zh-CN"/>
              </w:rPr>
              <w:t>→</w:t>
            </w:r>
            <w:r>
              <w:rPr>
                <w:rFonts w:hint="eastAsia" w:ascii="Arial" w:hAnsi="Arial" w:cs="Arial"/>
                <w:lang w:val="en-US" w:eastAsia="zh-CN"/>
              </w:rPr>
              <w:t>（</w:t>
            </w:r>
            <w:r>
              <w:rPr>
                <w:rFonts w:hint="eastAsia"/>
                <w:lang w:val="en-US" w:eastAsia="zh-CN"/>
              </w:rPr>
              <w:t>CH</w:t>
            </w:r>
            <w:r>
              <w:rPr>
                <w:rFonts w:hint="eastAsia"/>
                <w:vertAlign w:val="subscript"/>
                <w:lang w:val="en-US" w:eastAsia="zh-CN"/>
              </w:rPr>
              <w:t>3</w:t>
            </w:r>
            <w:r>
              <w:rPr>
                <w:rFonts w:hint="eastAsia"/>
                <w:lang w:val="en-US" w:eastAsia="zh-CN"/>
              </w:rPr>
              <w:t>CH</w:t>
            </w:r>
            <w:r>
              <w:rPr>
                <w:rFonts w:hint="eastAsia"/>
                <w:vertAlign w:val="subscript"/>
                <w:lang w:val="en-US" w:eastAsia="zh-CN"/>
              </w:rPr>
              <w:t>2</w:t>
            </w:r>
            <w:r>
              <w:rPr>
                <w:rFonts w:hint="eastAsia" w:ascii="Arial" w:hAnsi="Arial" w:cs="Arial"/>
                <w:lang w:val="en-US" w:eastAsia="zh-CN"/>
              </w:rPr>
              <w:t>）</w:t>
            </w:r>
            <w:r>
              <w:rPr>
                <w:rFonts w:hint="eastAsia" w:ascii="Arial" w:hAnsi="Arial" w:cs="Arial"/>
                <w:vertAlign w:val="subscript"/>
                <w:lang w:val="en-US" w:eastAsia="zh-CN"/>
              </w:rPr>
              <w:t>3</w:t>
            </w:r>
            <w:r>
              <w:rPr>
                <w:rFonts w:hint="eastAsia" w:ascii="微软雅黑" w:hAnsi="微软雅黑" w:eastAsia="微软雅黑" w:cs="微软雅黑"/>
                <w:vertAlign w:val="baseline"/>
                <w:lang w:val="en-US" w:eastAsia="zh-CN"/>
              </w:rPr>
              <w:t>·</w:t>
            </w:r>
            <w:r>
              <w:rPr>
                <w:rFonts w:hint="eastAsia"/>
                <w:lang w:val="en-US" w:eastAsia="zh-CN"/>
              </w:rPr>
              <w:t>NH</w:t>
            </w:r>
            <w:r>
              <w:rPr>
                <w:rFonts w:hint="eastAsia"/>
                <w:vertAlign w:val="subscript"/>
                <w:lang w:val="en-US" w:eastAsia="zh-CN"/>
              </w:rPr>
              <w:t>3</w:t>
            </w:r>
            <w:r>
              <w:rPr>
                <w:rFonts w:hint="eastAsia"/>
                <w:lang w:val="en-US" w:eastAsia="zh-CN"/>
              </w:rPr>
              <w:t>PO</w:t>
            </w:r>
            <w:r>
              <w:rPr>
                <w:rFonts w:hint="eastAsia"/>
                <w:vertAlign w:val="subscript"/>
                <w:lang w:val="en-US" w:eastAsia="zh-CN"/>
              </w:rPr>
              <w:t>4</w:t>
            </w:r>
            <w:r>
              <w:rPr>
                <w:rFonts w:hint="eastAsia"/>
                <w:lang w:val="en-US" w:eastAsia="zh-CN"/>
              </w:rPr>
              <w:t>（三乙胺磷酸盐）</w:t>
            </w:r>
          </w:p>
          <w:p>
            <w:pPr>
              <w:pStyle w:val="72"/>
              <w:bidi w:val="0"/>
              <w:rPr>
                <w:rFonts w:hint="eastAsia"/>
                <w:lang w:val="en-US" w:eastAsia="zh-CN"/>
              </w:rPr>
            </w:pPr>
            <w:r>
              <w:rPr>
                <w:rFonts w:hint="eastAsia"/>
                <w:lang w:val="en-US" w:eastAsia="zh-CN"/>
              </w:rPr>
              <w:t>因三乙胺在水中的溶解度大，经过实践，选用喷淋状态下2%~4%的稀磷酸溶液为中和吸收液，处理效果最佳。</w:t>
            </w:r>
          </w:p>
          <w:p>
            <w:pPr>
              <w:pStyle w:val="72"/>
              <w:bidi w:val="0"/>
              <w:rPr>
                <w:rFonts w:hint="default"/>
                <w:b/>
                <w:bCs/>
                <w:lang w:val="en-US" w:eastAsia="zh-CN"/>
              </w:rPr>
            </w:pPr>
            <w:r>
              <w:rPr>
                <w:rFonts w:hint="eastAsia"/>
                <w:b/>
                <w:bCs/>
                <w:lang w:val="en-US" w:eastAsia="zh-CN"/>
              </w:rPr>
              <w:t>（2）工艺设备</w:t>
            </w:r>
          </w:p>
          <w:p>
            <w:pPr>
              <w:pStyle w:val="72"/>
              <w:bidi w:val="0"/>
              <w:rPr>
                <w:rFonts w:hint="eastAsia"/>
                <w:sz w:val="24"/>
                <w:lang w:val="en-US" w:eastAsia="zh-CN"/>
              </w:rPr>
            </w:pPr>
            <w:r>
              <w:rPr>
                <w:rFonts w:hint="default" w:ascii="Calibri" w:hAnsi="Calibri" w:cs="Calibri"/>
                <w:sz w:val="24"/>
                <w:lang w:val="en-US" w:eastAsia="zh-CN"/>
              </w:rPr>
              <w:t>①</w:t>
            </w:r>
            <w:r>
              <w:rPr>
                <w:rFonts w:hint="eastAsia"/>
                <w:sz w:val="24"/>
                <w:lang w:val="en-US" w:eastAsia="zh-CN"/>
              </w:rPr>
              <w:t>滤芯除尘器</w:t>
            </w:r>
          </w:p>
          <w:p>
            <w:pPr>
              <w:pStyle w:val="72"/>
              <w:bidi w:val="0"/>
              <w:rPr>
                <w:rFonts w:hint="default"/>
                <w:sz w:val="24"/>
                <w:lang w:val="en-US" w:eastAsia="zh-CN"/>
              </w:rPr>
            </w:pPr>
            <w:r>
              <w:rPr>
                <w:rFonts w:hint="eastAsia"/>
                <w:sz w:val="24"/>
                <w:lang w:val="en-US" w:eastAsia="zh-CN"/>
              </w:rPr>
              <w:t>滤芯除尘器</w:t>
            </w:r>
            <w:r>
              <w:rPr>
                <w:rFonts w:hint="default"/>
                <w:sz w:val="24"/>
                <w:lang w:val="en-US" w:eastAsia="zh-CN"/>
              </w:rPr>
              <w:t>的作用是过滤进入风机的废气，分离并除去废气中的砂粒和其它异物，避免异物进入净化系统，提高系统处理效果。</w:t>
            </w:r>
          </w:p>
          <w:p>
            <w:pPr>
              <w:pStyle w:val="72"/>
              <w:bidi w:val="0"/>
              <w:rPr>
                <w:rFonts w:hint="eastAsia"/>
                <w:sz w:val="24"/>
                <w:lang w:val="en-US" w:eastAsia="zh-CN"/>
              </w:rPr>
            </w:pPr>
            <w:r>
              <w:rPr>
                <w:rFonts w:hint="default" w:ascii="Calibri" w:hAnsi="Calibri" w:cs="Calibri"/>
                <w:sz w:val="24"/>
                <w:lang w:val="en-US" w:eastAsia="zh-CN"/>
              </w:rPr>
              <w:t>②</w:t>
            </w:r>
            <w:r>
              <w:rPr>
                <w:rFonts w:hint="eastAsia"/>
                <w:sz w:val="24"/>
                <w:lang w:val="en-US" w:eastAsia="zh-CN"/>
              </w:rPr>
              <w:t>净化塔</w:t>
            </w:r>
          </w:p>
          <w:p>
            <w:pPr>
              <w:pStyle w:val="72"/>
              <w:bidi w:val="0"/>
              <w:rPr>
                <w:rFonts w:hint="eastAsia"/>
                <w:sz w:val="24"/>
                <w:lang w:val="en-US" w:eastAsia="zh-CN"/>
              </w:rPr>
            </w:pPr>
            <w:r>
              <w:rPr>
                <w:rFonts w:hint="eastAsia"/>
                <w:sz w:val="24"/>
                <w:lang w:val="en-US" w:eastAsia="zh-CN"/>
              </w:rPr>
              <w:t>净化塔是三乙胺废气处理系统的关键和主要设备，塔内有喷淋、脱水等装置，塔底有分隔的中和液池和酸池储存箱，外置循环水泵、加酸泵、PH值控制器及液位计于一体。净化塔采用优质玻璃钢制造，结构简单，外形美观，性能可靠，耐腐蚀、抗老化，维修方便，造价低廉。其结构示意图如下</w:t>
            </w:r>
          </w:p>
          <w:p>
            <w:pPr>
              <w:pStyle w:val="72"/>
              <w:bidi w:val="0"/>
              <w:jc w:val="center"/>
              <w:rPr>
                <w:rFonts w:hint="eastAsia"/>
                <w:sz w:val="24"/>
                <w:lang w:val="en-US" w:eastAsia="zh-CN"/>
              </w:rPr>
            </w:pPr>
            <w:r>
              <w:rPr>
                <w:rFonts w:hint="eastAsia"/>
                <w:sz w:val="24"/>
                <w:lang w:val="en-US" w:eastAsia="zh-CN"/>
              </w:rPr>
              <w:drawing>
                <wp:inline distT="0" distB="0" distL="114300" distR="114300">
                  <wp:extent cx="2583815" cy="2028825"/>
                  <wp:effectExtent l="0" t="0" r="6985" b="9525"/>
                  <wp:docPr id="4" name="图片 4" descr="169742792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97427921157"/>
                          <pic:cNvPicPr>
                            <a:picLocks noChangeAspect="1"/>
                          </pic:cNvPicPr>
                        </pic:nvPicPr>
                        <pic:blipFill>
                          <a:blip r:embed="rId15"/>
                          <a:stretch>
                            <a:fillRect/>
                          </a:stretch>
                        </pic:blipFill>
                        <pic:spPr>
                          <a:xfrm>
                            <a:off x="0" y="0"/>
                            <a:ext cx="2583815" cy="2028825"/>
                          </a:xfrm>
                          <a:prstGeom prst="rect">
                            <a:avLst/>
                          </a:prstGeom>
                        </pic:spPr>
                      </pic:pic>
                    </a:graphicData>
                  </a:graphic>
                </wp:inline>
              </w:drawing>
            </w:r>
          </w:p>
          <w:p>
            <w:pPr>
              <w:pStyle w:val="72"/>
              <w:bidi w:val="0"/>
              <w:spacing w:line="240" w:lineRule="auto"/>
              <w:jc w:val="center"/>
              <w:rPr>
                <w:rFonts w:hint="default"/>
                <w:b/>
                <w:bCs/>
                <w:sz w:val="21"/>
                <w:szCs w:val="21"/>
                <w:lang w:val="en-US" w:eastAsia="zh-CN"/>
              </w:rPr>
            </w:pPr>
            <w:r>
              <w:rPr>
                <w:rFonts w:hint="eastAsia"/>
                <w:b/>
                <w:bCs/>
                <w:sz w:val="21"/>
                <w:szCs w:val="21"/>
                <w:lang w:val="en-US" w:eastAsia="zh-CN"/>
              </w:rPr>
              <w:t>图4-1   净化塔结构图</w:t>
            </w:r>
          </w:p>
          <w:p>
            <w:pPr>
              <w:pStyle w:val="72"/>
              <w:bidi w:val="0"/>
              <w:rPr>
                <w:rFonts w:hint="eastAsia"/>
                <w:kern w:val="0"/>
                <w:sz w:val="24"/>
                <w:lang w:val="en-US" w:eastAsia="zh-CN"/>
              </w:rPr>
            </w:pPr>
            <w:r>
              <w:rPr>
                <w:rFonts w:hint="default"/>
                <w:kern w:val="0"/>
                <w:sz w:val="24"/>
                <w:lang w:val="en-US" w:eastAsia="zh-CN"/>
              </w:rPr>
              <w:t>（</w:t>
            </w:r>
            <w:r>
              <w:rPr>
                <w:rFonts w:hint="eastAsia"/>
                <w:kern w:val="0"/>
                <w:sz w:val="24"/>
                <w:lang w:val="en-US" w:eastAsia="zh-CN"/>
              </w:rPr>
              <w:t>2</w:t>
            </w:r>
            <w:r>
              <w:rPr>
                <w:rFonts w:hint="default"/>
                <w:kern w:val="0"/>
                <w:sz w:val="24"/>
                <w:lang w:val="en-US" w:eastAsia="zh-CN"/>
              </w:rPr>
              <w:t>） 喷淋装置</w:t>
            </w:r>
          </w:p>
          <w:p>
            <w:pPr>
              <w:pStyle w:val="72"/>
              <w:bidi w:val="0"/>
              <w:rPr>
                <w:rFonts w:hint="default"/>
                <w:kern w:val="0"/>
                <w:sz w:val="24"/>
                <w:lang w:val="en-US" w:eastAsia="zh-CN"/>
              </w:rPr>
            </w:pPr>
            <w:r>
              <w:rPr>
                <w:rFonts w:hint="default"/>
                <w:kern w:val="0"/>
                <w:sz w:val="24"/>
                <w:lang w:val="en-US" w:eastAsia="zh-CN"/>
              </w:rPr>
              <w:t>净化塔内部设有两层的酸雾喷淋结构，在喷淋覆盖范围内能均匀喷淋酸雾，增大废气与磷酸液的接触面积和接触时间。</w:t>
            </w:r>
          </w:p>
          <w:p>
            <w:pPr>
              <w:pStyle w:val="72"/>
              <w:bidi w:val="0"/>
              <w:rPr>
                <w:rFonts w:hint="default"/>
                <w:kern w:val="0"/>
                <w:sz w:val="24"/>
                <w:lang w:val="en-US" w:eastAsia="zh-CN"/>
              </w:rPr>
            </w:pPr>
            <w:r>
              <w:rPr>
                <w:rFonts w:hint="default"/>
                <w:kern w:val="0"/>
                <w:sz w:val="24"/>
                <w:lang w:val="en-US" w:eastAsia="zh-CN"/>
              </w:rPr>
              <w:t>（2） 脱液处理</w:t>
            </w:r>
          </w:p>
          <w:p>
            <w:pPr>
              <w:pStyle w:val="72"/>
              <w:bidi w:val="0"/>
              <w:rPr>
                <w:rFonts w:hint="default"/>
                <w:kern w:val="0"/>
                <w:sz w:val="24"/>
                <w:lang w:val="en-US" w:eastAsia="zh-CN"/>
              </w:rPr>
            </w:pPr>
            <w:r>
              <w:rPr>
                <w:rFonts w:hint="default"/>
                <w:kern w:val="0"/>
                <w:sz w:val="24"/>
                <w:lang w:val="en-US" w:eastAsia="zh-CN"/>
              </w:rPr>
              <w:t>主要作用是脱除气体夹带的水份，防止造成二次污染，脱液率达到99.9%。</w:t>
            </w:r>
          </w:p>
          <w:p>
            <w:pPr>
              <w:pStyle w:val="72"/>
              <w:bidi w:val="0"/>
              <w:rPr>
                <w:rFonts w:hint="default"/>
                <w:kern w:val="0"/>
                <w:sz w:val="24"/>
                <w:lang w:val="en-US" w:eastAsia="zh-CN"/>
              </w:rPr>
            </w:pPr>
            <w:r>
              <w:rPr>
                <w:rFonts w:hint="default"/>
                <w:kern w:val="0"/>
                <w:sz w:val="24"/>
                <w:lang w:val="en-US" w:eastAsia="zh-CN"/>
              </w:rPr>
              <w:t>（3）中和液池及液位和酸度控制</w:t>
            </w:r>
          </w:p>
          <w:p>
            <w:pPr>
              <w:pStyle w:val="72"/>
              <w:bidi w:val="0"/>
              <w:rPr>
                <w:rFonts w:hint="default"/>
                <w:kern w:val="0"/>
                <w:sz w:val="24"/>
                <w:lang w:val="en-US" w:eastAsia="zh-CN"/>
              </w:rPr>
            </w:pPr>
            <w:r>
              <w:rPr>
                <w:rFonts w:hint="default"/>
                <w:kern w:val="0"/>
                <w:sz w:val="24"/>
                <w:lang w:val="en-US" w:eastAsia="zh-CN"/>
              </w:rPr>
              <w:t>中和液池储存与废气发生中和反应的磷酸液体，其液位和酸度控制十分关键。液位控制采用液位计进行自动控制，酸度控制采用自动在线PH控制器进行自动控制。中和液池采用沉淀结构，沉淀物容易清理，循环泵前加过滤，防止喷头堵塞。</w:t>
            </w:r>
          </w:p>
          <w:p>
            <w:pPr>
              <w:pStyle w:val="72"/>
              <w:bidi w:val="0"/>
              <w:rPr>
                <w:rFonts w:hint="default"/>
                <w:kern w:val="0"/>
                <w:sz w:val="24"/>
                <w:lang w:val="en-US" w:eastAsia="zh-CN"/>
              </w:rPr>
            </w:pPr>
            <w:r>
              <w:rPr>
                <w:rFonts w:hint="default"/>
                <w:kern w:val="0"/>
                <w:sz w:val="24"/>
                <w:lang w:val="en-US" w:eastAsia="zh-CN"/>
              </w:rPr>
              <w:t>（4） 酸池及加酸装置</w:t>
            </w:r>
          </w:p>
          <w:p>
            <w:pPr>
              <w:pStyle w:val="72"/>
              <w:bidi w:val="0"/>
              <w:rPr>
                <w:rFonts w:hint="default"/>
                <w:kern w:val="0"/>
                <w:sz w:val="24"/>
                <w:lang w:val="en-US" w:eastAsia="zh-CN"/>
              </w:rPr>
            </w:pPr>
            <w:r>
              <w:rPr>
                <w:rFonts w:hint="default"/>
                <w:kern w:val="0"/>
                <w:sz w:val="24"/>
                <w:lang w:val="en-US" w:eastAsia="zh-CN"/>
              </w:rPr>
              <w:t>酸池是储存磷酸的池子，置于净化塔的底部，酸池的容积可以满足设定天数正常运行的磷酸用量。酸池内有液位计及灯光显示装置，及时提醒加酸，确保系统的正常运行。酸池加料口结构设计合理，十分方便操作和安全地加酸，并配装过滤网，防止杂质进入。</w:t>
            </w:r>
          </w:p>
          <w:p>
            <w:pPr>
              <w:pStyle w:val="72"/>
              <w:bidi w:val="0"/>
              <w:rPr>
                <w:rFonts w:hint="eastAsia"/>
                <w:b/>
                <w:bCs/>
                <w:lang w:val="en-US" w:eastAsia="zh-CN"/>
              </w:rPr>
            </w:pPr>
            <w:r>
              <w:rPr>
                <w:rFonts w:hint="eastAsia"/>
                <w:b/>
                <w:bCs/>
                <w:lang w:val="en-US" w:eastAsia="zh-CN"/>
              </w:rPr>
              <w:t>1.2.1污染治理设施可行性分析</w:t>
            </w:r>
          </w:p>
          <w:p>
            <w:pPr>
              <w:keepNext w:val="0"/>
              <w:keepLines w:val="0"/>
              <w:pageBreakBefore w:val="0"/>
              <w:widowControl w:val="0"/>
              <w:kinsoku/>
              <w:wordWrap/>
              <w:overflowPunct/>
              <w:topLinePunct w:val="0"/>
              <w:autoSpaceDE/>
              <w:autoSpaceDN/>
              <w:bidi w:val="0"/>
              <w:adjustRightInd w:val="0"/>
              <w:snapToGrid w:val="0"/>
              <w:spacing w:line="360" w:lineRule="auto"/>
              <w:ind w:left="0" w:right="91" w:firstLine="476"/>
              <w:textAlignment w:val="auto"/>
              <w:rPr>
                <w:rFonts w:ascii="宋体" w:hAnsi="宋体" w:eastAsia="宋体" w:cs="宋体"/>
                <w:spacing w:val="0"/>
                <w:sz w:val="24"/>
                <w:szCs w:val="24"/>
              </w:rPr>
            </w:pPr>
            <w:r>
              <w:rPr>
                <w:rFonts w:hint="eastAsia" w:ascii="宋体" w:hAnsi="宋体" w:cs="宋体"/>
                <w:spacing w:val="0"/>
                <w:sz w:val="24"/>
                <w:szCs w:val="24"/>
                <w:lang w:val="en-US" w:eastAsia="zh-CN"/>
              </w:rPr>
              <w:t>对照</w:t>
            </w:r>
            <w:r>
              <w:rPr>
                <w:rFonts w:ascii="宋体" w:hAnsi="宋体" w:eastAsia="宋体" w:cs="宋体"/>
                <w:spacing w:val="0"/>
                <w:sz w:val="24"/>
                <w:szCs w:val="24"/>
              </w:rPr>
              <w:t>《铸造工业大气污染防治可行技术指南》 （</w:t>
            </w:r>
            <w:r>
              <w:rPr>
                <w:rFonts w:ascii="Times New Roman" w:hAnsi="Times New Roman" w:eastAsia="Times New Roman" w:cs="Times New Roman"/>
                <w:spacing w:val="0"/>
                <w:sz w:val="24"/>
                <w:szCs w:val="24"/>
              </w:rPr>
              <w:t>HJ1292</w:t>
            </w:r>
            <w:r>
              <w:rPr>
                <w:rFonts w:hint="eastAsia" w:eastAsia="宋体" w:cs="Times New Roman"/>
                <w:spacing w:val="0"/>
                <w:sz w:val="24"/>
                <w:szCs w:val="24"/>
                <w:lang w:val="en-US" w:eastAsia="zh-CN"/>
              </w:rPr>
              <w:t>-</w:t>
            </w:r>
            <w:r>
              <w:rPr>
                <w:rFonts w:ascii="Times New Roman" w:hAnsi="Times New Roman" w:eastAsia="Times New Roman" w:cs="Times New Roman"/>
                <w:spacing w:val="0"/>
                <w:sz w:val="24"/>
                <w:szCs w:val="24"/>
              </w:rPr>
              <w:t>2023</w:t>
            </w:r>
            <w:r>
              <w:rPr>
                <w:rFonts w:ascii="宋体" w:hAnsi="宋体" w:eastAsia="宋体" w:cs="宋体"/>
                <w:spacing w:val="0"/>
                <w:sz w:val="24"/>
                <w:szCs w:val="24"/>
              </w:rPr>
              <w:t>）和《排污许可证申请与核发技术规范金属铸造工业》（</w:t>
            </w:r>
            <w:r>
              <w:rPr>
                <w:rFonts w:ascii="Times New Roman" w:hAnsi="Times New Roman" w:eastAsia="Times New Roman" w:cs="Times New Roman"/>
                <w:spacing w:val="0"/>
                <w:sz w:val="24"/>
                <w:szCs w:val="24"/>
              </w:rPr>
              <w:t>HJ1115-2020</w:t>
            </w:r>
            <w:r>
              <w:rPr>
                <w:rFonts w:ascii="宋体" w:hAnsi="宋体" w:eastAsia="宋体" w:cs="宋体"/>
                <w:spacing w:val="0"/>
                <w:sz w:val="24"/>
                <w:szCs w:val="24"/>
              </w:rPr>
              <w:t>）分析各废气治理措施可行性。 详见下表：</w:t>
            </w:r>
          </w:p>
          <w:p>
            <w:pPr>
              <w:pStyle w:val="37"/>
              <w:keepNext w:val="0"/>
              <w:keepLines w:val="0"/>
              <w:pageBreakBefore w:val="0"/>
              <w:widowControl/>
              <w:kinsoku/>
              <w:wordWrap/>
              <w:overflowPunct/>
              <w:topLinePunct w:val="0"/>
              <w:autoSpaceDE/>
              <w:autoSpaceDN/>
              <w:bidi w:val="0"/>
              <w:adjustRightInd/>
              <w:snapToGrid/>
              <w:spacing w:before="0" w:after="0"/>
              <w:textAlignment w:val="auto"/>
              <w:rPr>
                <w:rFonts w:hint="default"/>
                <w:lang w:val="en-US" w:eastAsia="zh-CN"/>
              </w:rPr>
            </w:pPr>
            <w:r>
              <w:rPr>
                <w:rFonts w:hint="eastAsia"/>
                <w:lang w:eastAsia="zh-CN"/>
              </w:rPr>
              <w:t>表</w:t>
            </w:r>
            <w:r>
              <w:rPr>
                <w:rFonts w:hint="eastAsia"/>
                <w:lang w:val="en-US" w:eastAsia="zh-CN"/>
              </w:rPr>
              <w:t>4-3 项目废气收集治理措施汇总表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
            <w:tblGrid>
              <w:gridCol w:w="757"/>
              <w:gridCol w:w="847"/>
              <w:gridCol w:w="1012"/>
              <w:gridCol w:w="918"/>
              <w:gridCol w:w="918"/>
              <w:gridCol w:w="261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trHeight w:val="0" w:hRule="atLeast"/>
                <w:jc w:val="center"/>
              </w:trPr>
              <w:tc>
                <w:tcPr>
                  <w:tcW w:w="476"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cs="Times New Roman"/>
                      <w:b/>
                      <w:bCs/>
                      <w:color w:val="auto"/>
                      <w:kern w:val="0"/>
                      <w:sz w:val="21"/>
                      <w:szCs w:val="21"/>
                      <w:lang w:val="en-US" w:eastAsia="zh-CN" w:bidi="ar-SA"/>
                    </w:rPr>
                    <w:t>污染源名称</w:t>
                  </w:r>
                </w:p>
              </w:tc>
              <w:tc>
                <w:tcPr>
                  <w:tcW w:w="533"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default" w:cs="Times New Roman"/>
                      <w:b/>
                      <w:bCs/>
                      <w:color w:val="auto"/>
                      <w:kern w:val="0"/>
                      <w:sz w:val="21"/>
                      <w:szCs w:val="21"/>
                      <w:lang w:val="en-US" w:eastAsia="zh-CN" w:bidi="ar-SA"/>
                    </w:rPr>
                  </w:pPr>
                  <w:r>
                    <w:rPr>
                      <w:rFonts w:hint="eastAsia" w:cs="Times New Roman"/>
                      <w:b/>
                      <w:bCs/>
                      <w:color w:val="auto"/>
                      <w:kern w:val="0"/>
                      <w:sz w:val="21"/>
                      <w:szCs w:val="21"/>
                      <w:lang w:val="en-US" w:eastAsia="zh-CN" w:bidi="ar-SA"/>
                    </w:rPr>
                    <w:t>污染源设备</w:t>
                  </w:r>
                </w:p>
              </w:tc>
              <w:tc>
                <w:tcPr>
                  <w:tcW w:w="637"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cs="Times New Roman"/>
                      <w:b/>
                      <w:bCs/>
                      <w:color w:val="auto"/>
                      <w:kern w:val="0"/>
                      <w:sz w:val="21"/>
                      <w:szCs w:val="21"/>
                      <w:lang w:val="en-US" w:eastAsia="zh-CN" w:bidi="ar-SA"/>
                    </w:rPr>
                    <w:t>主要污染物项目</w:t>
                  </w:r>
                </w:p>
              </w:tc>
              <w:tc>
                <w:tcPr>
                  <w:tcW w:w="1156" w:type="pct"/>
                  <w:gridSpan w:val="2"/>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cs="Times New Roman"/>
                      <w:b/>
                      <w:bCs/>
                      <w:color w:val="auto"/>
                      <w:kern w:val="0"/>
                      <w:sz w:val="21"/>
                      <w:szCs w:val="21"/>
                      <w:lang w:val="en-US" w:eastAsia="zh-CN" w:bidi="ar-SA"/>
                    </w:rPr>
                    <w:t>本项目采用的</w:t>
                  </w:r>
                  <w:r>
                    <w:rPr>
                      <w:rFonts w:hint="eastAsia" w:ascii="Times New Roman" w:hAnsi="Times New Roman" w:eastAsia="宋体" w:cs="Times New Roman"/>
                      <w:b/>
                      <w:bCs/>
                      <w:color w:val="auto"/>
                      <w:kern w:val="0"/>
                      <w:sz w:val="21"/>
                      <w:szCs w:val="21"/>
                      <w:lang w:val="en-US" w:eastAsia="zh-CN" w:bidi="ar-SA"/>
                    </w:rPr>
                    <w:t>治理措施</w:t>
                  </w:r>
                </w:p>
              </w:tc>
              <w:tc>
                <w:tcPr>
                  <w:tcW w:w="1644"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可行技术</w:t>
                  </w:r>
                </w:p>
              </w:tc>
              <w:tc>
                <w:tcPr>
                  <w:tcW w:w="550"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0" w:hRule="atLeast"/>
                <w:jc w:val="center"/>
              </w:trPr>
              <w:tc>
                <w:tcPr>
                  <w:tcW w:w="476"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default"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熔炼工序</w:t>
                  </w:r>
                </w:p>
              </w:tc>
              <w:tc>
                <w:tcPr>
                  <w:tcW w:w="533"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default"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中频感应炉</w:t>
                  </w:r>
                </w:p>
              </w:tc>
              <w:tc>
                <w:tcPr>
                  <w:tcW w:w="637"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颗粒物</w:t>
                  </w:r>
                </w:p>
              </w:tc>
              <w:tc>
                <w:tcPr>
                  <w:tcW w:w="1156" w:type="pct"/>
                  <w:gridSpan w:val="2"/>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default"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集气罩+布袋除尘器</w:t>
                  </w:r>
                </w:p>
              </w:tc>
              <w:tc>
                <w:tcPr>
                  <w:tcW w:w="1644" w:type="pct"/>
                  <w:tcBorders>
                    <w:tl2br w:val="nil"/>
                    <w:tr2bl w:val="nil"/>
                  </w:tcBorders>
                  <w:noWrap w:val="0"/>
                  <w:vAlign w:val="center"/>
                </w:tcPr>
                <w:p>
                  <w:pPr>
                    <w:keepNext w:val="0"/>
                    <w:keepLines w:val="0"/>
                    <w:widowControl/>
                    <w:suppressLineNumbers w:val="0"/>
                    <w:spacing w:line="240" w:lineRule="auto"/>
                    <w:jc w:val="left"/>
                    <w:rPr>
                      <w:rFonts w:hint="eastAsia" w:ascii="Times New Roman" w:hAnsi="Times New Roman" w:eastAsia="宋体" w:cs="Times New Roman"/>
                      <w:b/>
                      <w:bCs/>
                      <w:color w:val="auto"/>
                      <w:kern w:val="2"/>
                      <w:sz w:val="21"/>
                      <w:szCs w:val="21"/>
                      <w:lang w:val="en-US" w:eastAsia="zh-CN" w:bidi="ar-SA"/>
                    </w:rPr>
                  </w:pPr>
                  <w:r>
                    <w:rPr>
                      <w:rFonts w:hint="eastAsia" w:ascii="宋体" w:hAnsi="宋体" w:eastAsia="宋体" w:cs="宋体"/>
                      <w:color w:val="000000"/>
                      <w:kern w:val="0"/>
                      <w:sz w:val="21"/>
                      <w:szCs w:val="21"/>
                      <w:lang w:val="en-US" w:eastAsia="zh-CN" w:bidi="ar"/>
                    </w:rPr>
                    <w:t xml:space="preserve">设置集气罩，连接袋式除尘器进行除尘，除尘效率可达 </w:t>
                  </w:r>
                  <w:r>
                    <w:rPr>
                      <w:rFonts w:hint="default" w:ascii="Times New Roman" w:hAnsi="Times New Roman" w:eastAsia="宋体" w:cs="Times New Roman"/>
                      <w:color w:val="000000"/>
                      <w:kern w:val="0"/>
                      <w:sz w:val="21"/>
                      <w:szCs w:val="21"/>
                      <w:lang w:val="en-US" w:eastAsia="zh-CN" w:bidi="ar"/>
                    </w:rPr>
                    <w:t>99 %</w:t>
                  </w:r>
                  <w:r>
                    <w:rPr>
                      <w:rFonts w:hint="eastAsia" w:ascii="宋体" w:hAnsi="宋体" w:eastAsia="宋体" w:cs="宋体"/>
                      <w:color w:val="000000"/>
                      <w:kern w:val="0"/>
                      <w:sz w:val="21"/>
                      <w:szCs w:val="21"/>
                      <w:lang w:val="en-US" w:eastAsia="zh-CN" w:bidi="ar"/>
                    </w:rPr>
                    <w:t xml:space="preserve">以上，排放浓度可达 </w:t>
                  </w:r>
                  <w:r>
                    <w:rPr>
                      <w:rFonts w:hint="default" w:ascii="Times New Roman" w:hAnsi="Times New Roman" w:eastAsia="宋体" w:cs="Times New Roman"/>
                      <w:color w:val="000000"/>
                      <w:kern w:val="0"/>
                      <w:sz w:val="21"/>
                      <w:szCs w:val="21"/>
                      <w:lang w:val="en-US" w:eastAsia="zh-CN" w:bidi="ar"/>
                    </w:rPr>
                    <w:t>30 mg/m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以下。</w:t>
                  </w:r>
                </w:p>
              </w:tc>
              <w:tc>
                <w:tcPr>
                  <w:tcW w:w="550"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trHeight w:val="0" w:hRule="atLeast"/>
                <w:jc w:val="center"/>
              </w:trPr>
              <w:tc>
                <w:tcPr>
                  <w:tcW w:w="476" w:type="pct"/>
                  <w:tcBorders>
                    <w:tl2br w:val="nil"/>
                    <w:tr2bl w:val="nil"/>
                  </w:tcBorders>
                  <w:noWrap w:val="0"/>
                  <w:vAlign w:val="center"/>
                </w:tcPr>
                <w:p>
                  <w:pPr>
                    <w:pStyle w:val="39"/>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砂处理</w:t>
                  </w:r>
                </w:p>
              </w:tc>
              <w:tc>
                <w:tcPr>
                  <w:tcW w:w="533" w:type="pct"/>
                  <w:tcBorders>
                    <w:tl2br w:val="nil"/>
                    <w:tr2bl w:val="nil"/>
                  </w:tcBorders>
                  <w:noWrap w:val="0"/>
                  <w:vAlign w:val="center"/>
                </w:tcPr>
                <w:p>
                  <w:pPr>
                    <w:pStyle w:val="39"/>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kern w:val="0"/>
                      <w:sz w:val="21"/>
                      <w:szCs w:val="21"/>
                      <w:lang w:val="en-US" w:eastAsia="zh-CN" w:bidi="ar-SA"/>
                    </w:rPr>
                  </w:pPr>
                  <w:r>
                    <w:rPr>
                      <w:rFonts w:hint="eastAsia"/>
                      <w:b w:val="0"/>
                      <w:bCs w:val="0"/>
                      <w:sz w:val="21"/>
                      <w:szCs w:val="21"/>
                      <w:lang w:val="en-US" w:eastAsia="zh-CN"/>
                    </w:rPr>
                    <w:t>混砂机</w:t>
                  </w:r>
                </w:p>
              </w:tc>
              <w:tc>
                <w:tcPr>
                  <w:tcW w:w="637"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颗粒物</w:t>
                  </w:r>
                </w:p>
              </w:tc>
              <w:tc>
                <w:tcPr>
                  <w:tcW w:w="578"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封闭罩</w:t>
                  </w:r>
                </w:p>
              </w:tc>
              <w:tc>
                <w:tcPr>
                  <w:tcW w:w="578" w:type="pct"/>
                  <w:vMerge w:val="restar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布袋除尘器</w:t>
                  </w:r>
                </w:p>
              </w:tc>
              <w:tc>
                <w:tcPr>
                  <w:tcW w:w="1644" w:type="pct"/>
                  <w:tcBorders>
                    <w:tl2br w:val="nil"/>
                    <w:tr2bl w:val="nil"/>
                  </w:tcBorders>
                  <w:noWrap w:val="0"/>
                  <w:vAlign w:val="center"/>
                </w:tcPr>
                <w:p>
                  <w:pPr>
                    <w:keepNext w:val="0"/>
                    <w:keepLines w:val="0"/>
                    <w:widowControl/>
                    <w:suppressLineNumbers w:val="0"/>
                    <w:spacing w:line="240" w:lineRule="auto"/>
                    <w:jc w:val="left"/>
                    <w:rPr>
                      <w:rFonts w:hint="eastAsia" w:ascii="Times New Roman" w:hAnsi="Times New Roman" w:eastAsia="宋体" w:cs="Times New Roman"/>
                      <w:kern w:val="2"/>
                      <w:sz w:val="21"/>
                      <w:szCs w:val="21"/>
                      <w:lang w:val="en-US" w:eastAsia="zh-CN" w:bidi="ar-SA"/>
                    </w:rPr>
                  </w:pPr>
                  <w:r>
                    <w:rPr>
                      <w:rFonts w:hint="eastAsia" w:ascii="宋体" w:hAnsi="宋体" w:eastAsia="宋体" w:cs="宋体"/>
                      <w:color w:val="000000"/>
                      <w:kern w:val="0"/>
                      <w:sz w:val="21"/>
                      <w:szCs w:val="21"/>
                      <w:lang w:val="en-US" w:eastAsia="zh-CN" w:bidi="ar"/>
                    </w:rPr>
                    <w:t xml:space="preserve">砂处理工序应密闭，连接袋式除尘器进行除尘，除尘效率 </w:t>
                  </w:r>
                  <w:r>
                    <w:rPr>
                      <w:rFonts w:hint="default" w:ascii="Times New Roman" w:hAnsi="Times New Roman" w:eastAsia="宋体" w:cs="Times New Roman"/>
                      <w:color w:val="000000"/>
                      <w:kern w:val="0"/>
                      <w:sz w:val="21"/>
                      <w:szCs w:val="21"/>
                      <w:lang w:val="en-US" w:eastAsia="zh-CN" w:bidi="ar"/>
                    </w:rPr>
                    <w:t>99 %</w:t>
                  </w:r>
                  <w:r>
                    <w:rPr>
                      <w:rFonts w:hint="eastAsia" w:ascii="宋体" w:hAnsi="宋体" w:eastAsia="宋体" w:cs="宋体"/>
                      <w:color w:val="000000"/>
                      <w:kern w:val="0"/>
                      <w:sz w:val="21"/>
                      <w:szCs w:val="21"/>
                      <w:lang w:val="en-US" w:eastAsia="zh-CN" w:bidi="ar"/>
                    </w:rPr>
                    <w:t>以上，排放浓度可达</w:t>
                  </w:r>
                  <w:r>
                    <w:rPr>
                      <w:rFonts w:hint="default" w:ascii="Times New Roman" w:hAnsi="Times New Roman" w:eastAsia="宋体" w:cs="Times New Roman"/>
                      <w:color w:val="000000"/>
                      <w:kern w:val="0"/>
                      <w:sz w:val="21"/>
                      <w:szCs w:val="21"/>
                      <w:lang w:val="en-US" w:eastAsia="zh-CN" w:bidi="ar"/>
                    </w:rPr>
                    <w:t>30 mg/m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以下。</w:t>
                  </w:r>
                </w:p>
              </w:tc>
              <w:tc>
                <w:tcPr>
                  <w:tcW w:w="550"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trHeight w:val="0" w:hRule="atLeast"/>
                <w:jc w:val="center"/>
              </w:trPr>
              <w:tc>
                <w:tcPr>
                  <w:tcW w:w="476" w:type="pct"/>
                  <w:tcBorders>
                    <w:tl2br w:val="nil"/>
                    <w:tr2bl w:val="nil"/>
                  </w:tcBorders>
                  <w:noWrap w:val="0"/>
                  <w:vAlign w:val="center"/>
                </w:tcPr>
                <w:p>
                  <w:pPr>
                    <w:pStyle w:val="3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浇</w:t>
                  </w:r>
                  <w:r>
                    <w:rPr>
                      <w:rFonts w:hint="eastAsia"/>
                      <w:sz w:val="21"/>
                      <w:szCs w:val="21"/>
                      <w:lang w:val="en-US" w:eastAsia="zh-CN"/>
                    </w:rPr>
                    <w:t>注</w:t>
                  </w:r>
                  <w:r>
                    <w:rPr>
                      <w:rFonts w:hint="eastAsia" w:cs="Times New Roman"/>
                      <w:bCs/>
                      <w:color w:val="auto"/>
                      <w:kern w:val="0"/>
                      <w:sz w:val="21"/>
                      <w:szCs w:val="21"/>
                      <w:lang w:val="en-US" w:eastAsia="zh-CN" w:bidi="ar-SA"/>
                    </w:rPr>
                    <w:t>工序</w:t>
                  </w:r>
                </w:p>
              </w:tc>
              <w:tc>
                <w:tcPr>
                  <w:tcW w:w="533" w:type="pct"/>
                  <w:tcBorders>
                    <w:tl2br w:val="nil"/>
                    <w:tr2bl w:val="nil"/>
                  </w:tcBorders>
                  <w:noWrap w:val="0"/>
                  <w:vAlign w:val="center"/>
                </w:tcPr>
                <w:p>
                  <w:pPr>
                    <w:pStyle w:val="39"/>
                    <w:keepNext w:val="0"/>
                    <w:keepLines w:val="0"/>
                    <w:pageBreakBefore w:val="0"/>
                    <w:widowControl/>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lang w:val="en-US" w:eastAsia="zh-CN"/>
                    </w:rPr>
                    <w:t>浇注区</w:t>
                  </w:r>
                </w:p>
              </w:tc>
              <w:tc>
                <w:tcPr>
                  <w:tcW w:w="637"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颗粒物</w:t>
                  </w:r>
                </w:p>
              </w:tc>
              <w:tc>
                <w:tcPr>
                  <w:tcW w:w="578"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集气罩</w:t>
                  </w:r>
                </w:p>
              </w:tc>
              <w:tc>
                <w:tcPr>
                  <w:tcW w:w="578" w:type="pct"/>
                  <w:vMerge w:val="continue"/>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p>
              </w:tc>
              <w:tc>
                <w:tcPr>
                  <w:tcW w:w="1644" w:type="pct"/>
                  <w:tcBorders>
                    <w:tl2br w:val="nil"/>
                    <w:tr2bl w:val="nil"/>
                  </w:tcBorders>
                  <w:noWrap w:val="0"/>
                  <w:vAlign w:val="center"/>
                </w:tcPr>
                <w:p>
                  <w:pPr>
                    <w:keepNext w:val="0"/>
                    <w:keepLines w:val="0"/>
                    <w:widowControl/>
                    <w:suppressLineNumbers w:val="0"/>
                    <w:spacing w:line="240" w:lineRule="auto"/>
                    <w:jc w:val="left"/>
                    <w:rPr>
                      <w:rFonts w:hint="eastAsia"/>
                      <w:sz w:val="21"/>
                      <w:szCs w:val="21"/>
                      <w:lang w:val="en-US" w:eastAsia="zh-CN"/>
                    </w:rPr>
                  </w:pPr>
                  <w:r>
                    <w:rPr>
                      <w:rFonts w:hint="eastAsia" w:ascii="宋体" w:hAnsi="宋体" w:eastAsia="宋体" w:cs="宋体"/>
                      <w:color w:val="000000"/>
                      <w:kern w:val="0"/>
                      <w:sz w:val="21"/>
                      <w:szCs w:val="21"/>
                      <w:lang w:val="en-US" w:eastAsia="zh-CN" w:bidi="ar"/>
                    </w:rPr>
                    <w:t xml:space="preserve">在浇注工位上方设置集气罩连接除尘器进行除尘，除尘效率可达 </w:t>
                  </w:r>
                  <w:r>
                    <w:rPr>
                      <w:rFonts w:hint="default" w:ascii="Times New Roman" w:hAnsi="Times New Roman" w:eastAsia="宋体" w:cs="Times New Roman"/>
                      <w:color w:val="000000"/>
                      <w:kern w:val="0"/>
                      <w:sz w:val="21"/>
                      <w:szCs w:val="21"/>
                      <w:lang w:val="en-US" w:eastAsia="zh-CN" w:bidi="ar"/>
                    </w:rPr>
                    <w:t xml:space="preserve">80 % </w:t>
                  </w:r>
                  <w:r>
                    <w:rPr>
                      <w:rFonts w:hint="eastAsia" w:ascii="宋体" w:hAnsi="宋体" w:eastAsia="宋体" w:cs="宋体"/>
                      <w:color w:val="000000"/>
                      <w:kern w:val="0"/>
                      <w:sz w:val="21"/>
                      <w:szCs w:val="21"/>
                      <w:lang w:val="en-US" w:eastAsia="zh-CN" w:bidi="ar"/>
                    </w:rPr>
                    <w:t xml:space="preserve">以上，排放浓度可达 </w:t>
                  </w:r>
                  <w:r>
                    <w:rPr>
                      <w:rFonts w:hint="default" w:ascii="Times New Roman" w:hAnsi="Times New Roman" w:eastAsia="宋体" w:cs="Times New Roman"/>
                      <w:color w:val="000000"/>
                      <w:kern w:val="0"/>
                      <w:sz w:val="21"/>
                      <w:szCs w:val="21"/>
                      <w:lang w:val="en-US" w:eastAsia="zh-CN" w:bidi="ar"/>
                    </w:rPr>
                    <w:t>30 mg/m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以下。</w:t>
                  </w:r>
                </w:p>
              </w:tc>
              <w:tc>
                <w:tcPr>
                  <w:tcW w:w="550"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trHeight w:val="0" w:hRule="atLeast"/>
                <w:jc w:val="center"/>
              </w:trPr>
              <w:tc>
                <w:tcPr>
                  <w:tcW w:w="476" w:type="pct"/>
                  <w:vMerge w:val="restart"/>
                  <w:tcBorders>
                    <w:tl2br w:val="nil"/>
                    <w:tr2bl w:val="nil"/>
                  </w:tcBorders>
                  <w:noWrap w:val="0"/>
                  <w:vAlign w:val="center"/>
                </w:tcPr>
                <w:p>
                  <w:pPr>
                    <w:pStyle w:val="39"/>
                    <w:keepNext w:val="0"/>
                    <w:keepLines w:val="0"/>
                    <w:pageBreakBefore w:val="0"/>
                    <w:widowControl/>
                    <w:kinsoku/>
                    <w:wordWrap/>
                    <w:overflowPunct/>
                    <w:topLinePunct w:val="0"/>
                    <w:autoSpaceDE/>
                    <w:autoSpaceDN/>
                    <w:bidi w:val="0"/>
                    <w:adjustRightInd/>
                    <w:snapToGrid/>
                    <w:spacing w:line="240" w:lineRule="auto"/>
                    <w:textAlignment w:val="auto"/>
                    <w:rPr>
                      <w:rFonts w:hint="default" w:cs="Times New Roman"/>
                      <w:bCs/>
                      <w:color w:val="auto"/>
                      <w:kern w:val="0"/>
                      <w:sz w:val="21"/>
                      <w:szCs w:val="21"/>
                      <w:lang w:val="en-US" w:eastAsia="zh-CN" w:bidi="ar-SA"/>
                    </w:rPr>
                  </w:pPr>
                  <w:r>
                    <w:rPr>
                      <w:rFonts w:hint="eastAsia" w:cs="Times New Roman"/>
                      <w:bCs/>
                      <w:color w:val="auto"/>
                      <w:kern w:val="0"/>
                      <w:sz w:val="21"/>
                      <w:szCs w:val="21"/>
                      <w:lang w:val="en-US" w:eastAsia="zh-CN" w:bidi="ar-SA"/>
                    </w:rPr>
                    <w:t>制芯</w:t>
                  </w:r>
                </w:p>
              </w:tc>
              <w:tc>
                <w:tcPr>
                  <w:tcW w:w="533" w:type="pct"/>
                  <w:vMerge w:val="restart"/>
                  <w:tcBorders>
                    <w:tl2br w:val="nil"/>
                    <w:tr2bl w:val="nil"/>
                  </w:tcBorders>
                  <w:noWrap w:val="0"/>
                  <w:vAlign w:val="center"/>
                </w:tcPr>
                <w:p>
                  <w:pPr>
                    <w:pStyle w:val="39"/>
                    <w:keepNext w:val="0"/>
                    <w:keepLines w:val="0"/>
                    <w:pageBreakBefore w:val="0"/>
                    <w:widowControl/>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cs="Times New Roman"/>
                      <w:bCs/>
                      <w:color w:val="auto"/>
                      <w:kern w:val="0"/>
                      <w:sz w:val="21"/>
                      <w:szCs w:val="21"/>
                      <w:lang w:val="en-US" w:eastAsia="zh-CN" w:bidi="ar-SA"/>
                    </w:rPr>
                    <w:t>制芯</w:t>
                  </w:r>
                  <w:r>
                    <w:rPr>
                      <w:rFonts w:hint="eastAsia"/>
                      <w:sz w:val="21"/>
                      <w:szCs w:val="21"/>
                      <w:lang w:val="en-US" w:eastAsia="zh-CN"/>
                    </w:rPr>
                    <w:t>设备</w:t>
                  </w:r>
                </w:p>
              </w:tc>
              <w:tc>
                <w:tcPr>
                  <w:tcW w:w="637"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颗粒物</w:t>
                  </w:r>
                </w:p>
              </w:tc>
              <w:tc>
                <w:tcPr>
                  <w:tcW w:w="1156" w:type="pct"/>
                  <w:gridSpan w:val="2"/>
                  <w:vMerge w:val="restar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cs="Times New Roman"/>
                      <w:b/>
                      <w:bCs/>
                      <w:color w:val="auto"/>
                      <w:kern w:val="0"/>
                      <w:sz w:val="21"/>
                      <w:szCs w:val="21"/>
                      <w:lang w:val="en-US" w:eastAsia="zh-CN" w:bidi="ar-SA"/>
                    </w:rPr>
                  </w:pPr>
                  <w:r>
                    <w:rPr>
                      <w:rFonts w:hint="eastAsia" w:ascii="宋体" w:hAnsi="宋体" w:eastAsia="宋体" w:cs="宋体"/>
                      <w:color w:val="000000"/>
                      <w:kern w:val="0"/>
                      <w:sz w:val="21"/>
                      <w:szCs w:val="21"/>
                      <w:lang w:val="en-US" w:eastAsia="zh-CN" w:bidi="ar"/>
                    </w:rPr>
                    <w:t>集气罩</w:t>
                  </w:r>
                  <w:r>
                    <w:rPr>
                      <w:rFonts w:hint="default" w:ascii="Times New Roman" w:hAnsi="Times New Roman" w:eastAsia="宋体" w:cs="Times New Roman"/>
                      <w:color w:val="000000"/>
                      <w:kern w:val="0"/>
                      <w:sz w:val="21"/>
                      <w:szCs w:val="21"/>
                      <w:lang w:val="en-US" w:eastAsia="zh-CN" w:bidi="ar"/>
                    </w:rPr>
                    <w:t>+</w:t>
                  </w:r>
                  <w:r>
                    <w:rPr>
                      <w:rFonts w:hint="eastAsia" w:ascii="宋体" w:hAnsi="宋体" w:cs="宋体"/>
                      <w:color w:val="000000"/>
                      <w:kern w:val="0"/>
                      <w:sz w:val="21"/>
                      <w:szCs w:val="21"/>
                      <w:lang w:val="en-US" w:eastAsia="zh-CN" w:bidi="ar"/>
                    </w:rPr>
                    <w:t>滤芯除尘器</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酸碱中和</w:t>
                  </w:r>
                  <w:r>
                    <w:rPr>
                      <w:rFonts w:hint="eastAsia" w:ascii="宋体" w:hAnsi="宋体" w:eastAsia="宋体" w:cs="宋体"/>
                      <w:color w:val="000000"/>
                      <w:kern w:val="0"/>
                      <w:sz w:val="21"/>
                      <w:szCs w:val="21"/>
                      <w:lang w:val="en-US" w:eastAsia="zh-CN" w:bidi="ar"/>
                    </w:rPr>
                    <w:t>净化塔处理后</w:t>
                  </w:r>
                </w:p>
              </w:tc>
              <w:tc>
                <w:tcPr>
                  <w:tcW w:w="1644" w:type="pct"/>
                  <w:tcBorders>
                    <w:tl2br w:val="nil"/>
                    <w:tr2bl w:val="nil"/>
                  </w:tcBorders>
                  <w:noWrap w:val="0"/>
                  <w:vAlign w:val="center"/>
                </w:tcPr>
                <w:p>
                  <w:pPr>
                    <w:keepNext w:val="0"/>
                    <w:keepLines w:val="0"/>
                    <w:widowControl/>
                    <w:suppressLineNumbers w:val="0"/>
                    <w:spacing w:line="240" w:lineRule="auto"/>
                    <w:jc w:val="left"/>
                    <w:rPr>
                      <w:rFonts w:hint="eastAsia"/>
                      <w:sz w:val="21"/>
                      <w:szCs w:val="21"/>
                      <w:lang w:val="en-US" w:eastAsia="zh-CN"/>
                    </w:rPr>
                  </w:pPr>
                  <w:r>
                    <w:rPr>
                      <w:rFonts w:hint="eastAsia" w:ascii="宋体" w:hAnsi="宋体" w:eastAsia="宋体" w:cs="宋体"/>
                      <w:color w:val="000000"/>
                      <w:kern w:val="0"/>
                      <w:sz w:val="21"/>
                      <w:szCs w:val="21"/>
                      <w:lang w:val="en-US" w:eastAsia="zh-CN" w:bidi="ar"/>
                    </w:rPr>
                    <w:t xml:space="preserve">采取集气措施，连接除尘器进行除尘，排放浓度可达 </w:t>
                  </w:r>
                  <w:r>
                    <w:rPr>
                      <w:rFonts w:hint="default" w:ascii="Times New Roman" w:hAnsi="Times New Roman" w:eastAsia="宋体" w:cs="Times New Roman"/>
                      <w:color w:val="000000"/>
                      <w:kern w:val="0"/>
                      <w:sz w:val="21"/>
                      <w:szCs w:val="21"/>
                      <w:lang w:val="en-US" w:eastAsia="zh-CN" w:bidi="ar"/>
                    </w:rPr>
                    <w:t>30 mg/m</w:t>
                  </w:r>
                  <w:r>
                    <w:rPr>
                      <w:rFonts w:hint="default" w:ascii="Times New Roman" w:hAnsi="Times New Roman" w:eastAsia="宋体" w:cs="Times New Roman"/>
                      <w:color w:val="000000"/>
                      <w:kern w:val="0"/>
                      <w:sz w:val="21"/>
                      <w:szCs w:val="21"/>
                      <w:vertAlign w:val="superscript"/>
                      <w:lang w:val="en-US" w:eastAsia="zh-CN" w:bidi="ar"/>
                    </w:rPr>
                    <w:t xml:space="preserve">3 </w:t>
                  </w:r>
                  <w:r>
                    <w:rPr>
                      <w:rFonts w:hint="eastAsia" w:ascii="宋体" w:hAnsi="宋体" w:eastAsia="宋体" w:cs="宋体"/>
                      <w:color w:val="000000"/>
                      <w:kern w:val="0"/>
                      <w:sz w:val="21"/>
                      <w:szCs w:val="21"/>
                      <w:lang w:val="en-US" w:eastAsia="zh-CN" w:bidi="ar"/>
                    </w:rPr>
                    <w:t xml:space="preserve">以下 </w:t>
                  </w:r>
                </w:p>
              </w:tc>
              <w:tc>
                <w:tcPr>
                  <w:tcW w:w="550"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trHeight w:val="0" w:hRule="atLeast"/>
                <w:jc w:val="center"/>
              </w:trPr>
              <w:tc>
                <w:tcPr>
                  <w:tcW w:w="476" w:type="pct"/>
                  <w:vMerge w:val="continue"/>
                  <w:tcBorders>
                    <w:tl2br w:val="nil"/>
                    <w:tr2bl w:val="nil"/>
                  </w:tcBorders>
                  <w:noWrap w:val="0"/>
                  <w:vAlign w:val="center"/>
                </w:tcPr>
                <w:p>
                  <w:pPr>
                    <w:pStyle w:val="39"/>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color w:val="auto"/>
                      <w:kern w:val="0"/>
                      <w:sz w:val="21"/>
                      <w:szCs w:val="21"/>
                      <w:lang w:val="en-US" w:eastAsia="zh-CN" w:bidi="ar-SA"/>
                    </w:rPr>
                  </w:pPr>
                </w:p>
              </w:tc>
              <w:tc>
                <w:tcPr>
                  <w:tcW w:w="533" w:type="pct"/>
                  <w:vMerge w:val="continue"/>
                  <w:tcBorders>
                    <w:tl2br w:val="nil"/>
                    <w:tr2bl w:val="nil"/>
                  </w:tcBorders>
                  <w:noWrap w:val="0"/>
                  <w:vAlign w:val="center"/>
                </w:tcPr>
                <w:p>
                  <w:pPr>
                    <w:pStyle w:val="39"/>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color w:val="auto"/>
                      <w:kern w:val="0"/>
                      <w:sz w:val="21"/>
                      <w:szCs w:val="21"/>
                      <w:lang w:val="en-US" w:eastAsia="zh-CN" w:bidi="ar-SA"/>
                    </w:rPr>
                  </w:pPr>
                </w:p>
              </w:tc>
              <w:tc>
                <w:tcPr>
                  <w:tcW w:w="637"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三乙胺</w:t>
                  </w:r>
                </w:p>
              </w:tc>
              <w:tc>
                <w:tcPr>
                  <w:tcW w:w="1156" w:type="pct"/>
                  <w:gridSpan w:val="2"/>
                  <w:vMerge w:val="continue"/>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cs="Times New Roman"/>
                      <w:b/>
                      <w:bCs/>
                      <w:color w:val="auto"/>
                      <w:kern w:val="0"/>
                      <w:sz w:val="21"/>
                      <w:szCs w:val="21"/>
                      <w:lang w:val="en-US" w:eastAsia="zh-CN" w:bidi="ar-SA"/>
                    </w:rPr>
                  </w:pPr>
                </w:p>
              </w:tc>
              <w:tc>
                <w:tcPr>
                  <w:tcW w:w="1644" w:type="pct"/>
                  <w:tcBorders>
                    <w:tl2br w:val="nil"/>
                    <w:tr2bl w:val="nil"/>
                  </w:tcBorders>
                  <w:noWrap w:val="0"/>
                  <w:vAlign w:val="center"/>
                </w:tcPr>
                <w:p>
                  <w:pPr>
                    <w:keepNext w:val="0"/>
                    <w:keepLines w:val="0"/>
                    <w:widowControl/>
                    <w:suppressLineNumbers w:val="0"/>
                    <w:spacing w:line="240" w:lineRule="auto"/>
                    <w:jc w:val="left"/>
                    <w:rPr>
                      <w:rFonts w:hint="eastAsia"/>
                      <w:sz w:val="21"/>
                      <w:szCs w:val="21"/>
                      <w:lang w:val="en-US" w:eastAsia="zh-CN"/>
                    </w:rPr>
                  </w:pPr>
                  <w:r>
                    <w:rPr>
                      <w:rFonts w:hint="eastAsia" w:ascii="宋体" w:hAnsi="宋体" w:eastAsia="宋体" w:cs="宋体"/>
                      <w:color w:val="000000"/>
                      <w:kern w:val="0"/>
                      <w:sz w:val="21"/>
                      <w:szCs w:val="21"/>
                      <w:lang w:val="en-US" w:eastAsia="zh-CN" w:bidi="ar"/>
                    </w:rPr>
                    <w:t>采取集气措施，连接净化装置排放可</w:t>
                  </w:r>
                  <w:r>
                    <w:rPr>
                      <w:rFonts w:hint="default" w:ascii="Times New Roman" w:hAnsi="Times New Roman" w:eastAsia="宋体" w:cs="Times New Roman"/>
                      <w:color w:val="000000"/>
                      <w:kern w:val="0"/>
                      <w:sz w:val="21"/>
                      <w:szCs w:val="21"/>
                      <w:lang w:val="en-US" w:eastAsia="zh-CN" w:bidi="ar"/>
                    </w:rPr>
                    <w:t>20mg/m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以下 。</w:t>
                  </w:r>
                </w:p>
              </w:tc>
              <w:tc>
                <w:tcPr>
                  <w:tcW w:w="550"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trHeight w:val="0" w:hRule="atLeast"/>
                <w:jc w:val="center"/>
              </w:trPr>
              <w:tc>
                <w:tcPr>
                  <w:tcW w:w="476" w:type="pct"/>
                  <w:tcBorders>
                    <w:tl2br w:val="nil"/>
                    <w:tr2bl w:val="nil"/>
                  </w:tcBorders>
                  <w:noWrap w:val="0"/>
                  <w:vAlign w:val="center"/>
                </w:tcPr>
                <w:p>
                  <w:pPr>
                    <w:widowControl/>
                    <w:autoSpaceDE w:val="0"/>
                    <w:autoSpaceDN w:val="0"/>
                    <w:adjustRightInd w:val="0"/>
                    <w:snapToGrid w:val="0"/>
                    <w:spacing w:line="240" w:lineRule="auto"/>
                    <w:ind w:firstLine="0" w:firstLineChars="0"/>
                    <w:jc w:val="both"/>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铸件抛丸清理</w:t>
                  </w:r>
                </w:p>
              </w:tc>
              <w:tc>
                <w:tcPr>
                  <w:tcW w:w="533"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自动封闭抛丸机</w:t>
                  </w:r>
                </w:p>
              </w:tc>
              <w:tc>
                <w:tcPr>
                  <w:tcW w:w="637"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颗粒物</w:t>
                  </w:r>
                </w:p>
              </w:tc>
              <w:tc>
                <w:tcPr>
                  <w:tcW w:w="1156" w:type="pct"/>
                  <w:gridSpan w:val="2"/>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封闭式抛丸机，设备自带</w:t>
                  </w:r>
                  <w:r>
                    <w:rPr>
                      <w:rFonts w:hint="eastAsia" w:ascii="Times New Roman" w:hAnsi="Times New Roman" w:eastAsia="宋体" w:cs="Times New Roman"/>
                      <w:bCs/>
                      <w:color w:val="auto"/>
                      <w:kern w:val="0"/>
                      <w:sz w:val="21"/>
                      <w:szCs w:val="21"/>
                      <w:lang w:val="en-US" w:eastAsia="zh-CN" w:bidi="ar-SA"/>
                    </w:rPr>
                    <w:t>1套</w:t>
                  </w:r>
                  <w:r>
                    <w:rPr>
                      <w:rFonts w:hint="eastAsia" w:cs="Times New Roman"/>
                      <w:bCs/>
                      <w:color w:val="auto"/>
                      <w:kern w:val="0"/>
                      <w:sz w:val="21"/>
                      <w:szCs w:val="21"/>
                      <w:lang w:val="en-US" w:eastAsia="zh-CN" w:bidi="ar-SA"/>
                    </w:rPr>
                    <w:t>“</w:t>
                  </w:r>
                  <w:r>
                    <w:rPr>
                      <w:rFonts w:hint="eastAsia" w:ascii="Times New Roman" w:hAnsi="Times New Roman" w:eastAsia="宋体" w:cs="Times New Roman"/>
                      <w:bCs/>
                      <w:color w:val="auto"/>
                      <w:kern w:val="0"/>
                      <w:sz w:val="21"/>
                      <w:szCs w:val="21"/>
                      <w:lang w:val="en-US" w:eastAsia="zh-CN" w:bidi="ar-SA"/>
                    </w:rPr>
                    <w:t>布袋除尘器</w:t>
                  </w:r>
                  <w:r>
                    <w:rPr>
                      <w:rFonts w:hint="eastAsia" w:cs="Times New Roman"/>
                      <w:bCs/>
                      <w:color w:val="auto"/>
                      <w:kern w:val="0"/>
                      <w:sz w:val="21"/>
                      <w:szCs w:val="21"/>
                      <w:lang w:val="en-US" w:eastAsia="zh-CN" w:bidi="ar-SA"/>
                    </w:rPr>
                    <w:t>”处理</w:t>
                  </w:r>
                </w:p>
              </w:tc>
              <w:tc>
                <w:tcPr>
                  <w:tcW w:w="1644" w:type="pct"/>
                  <w:tcBorders>
                    <w:tl2br w:val="nil"/>
                    <w:tr2bl w:val="nil"/>
                  </w:tcBorders>
                  <w:noWrap w:val="0"/>
                  <w:vAlign w:val="center"/>
                </w:tcPr>
                <w:p>
                  <w:pPr>
                    <w:keepNext w:val="0"/>
                    <w:keepLines w:val="0"/>
                    <w:widowControl/>
                    <w:suppressLineNumbers w:val="0"/>
                    <w:spacing w:line="240" w:lineRule="auto"/>
                    <w:jc w:val="left"/>
                    <w:rPr>
                      <w:rFonts w:hint="eastAsia" w:ascii="Times New Roman" w:hAnsi="Times New Roman" w:eastAsia="宋体" w:cs="Times New Roman"/>
                      <w:bCs/>
                      <w:color w:val="auto"/>
                      <w:kern w:val="0"/>
                      <w:sz w:val="21"/>
                      <w:szCs w:val="21"/>
                      <w:lang w:val="en-US" w:eastAsia="zh-CN" w:bidi="ar-SA"/>
                    </w:rPr>
                  </w:pPr>
                  <w:r>
                    <w:rPr>
                      <w:rFonts w:hint="eastAsia" w:ascii="宋体" w:hAnsi="宋体" w:eastAsia="宋体" w:cs="宋体"/>
                      <w:color w:val="000000"/>
                      <w:kern w:val="0"/>
                      <w:sz w:val="21"/>
                      <w:szCs w:val="21"/>
                      <w:lang w:val="en-US" w:eastAsia="zh-CN" w:bidi="ar"/>
                    </w:rPr>
                    <w:t xml:space="preserve">抛丸工序应密闭，除尘效率可达 </w:t>
                  </w:r>
                  <w:r>
                    <w:rPr>
                      <w:rFonts w:hint="default" w:ascii="Times New Roman" w:hAnsi="Times New Roman" w:eastAsia="宋体" w:cs="Times New Roman"/>
                      <w:color w:val="000000"/>
                      <w:kern w:val="0"/>
                      <w:sz w:val="21"/>
                      <w:szCs w:val="21"/>
                      <w:lang w:val="en-US" w:eastAsia="zh-CN" w:bidi="ar"/>
                    </w:rPr>
                    <w:t>99 %</w:t>
                  </w:r>
                  <w:r>
                    <w:rPr>
                      <w:rFonts w:hint="eastAsia" w:ascii="宋体" w:hAnsi="宋体" w:eastAsia="宋体" w:cs="宋体"/>
                      <w:color w:val="000000"/>
                      <w:kern w:val="0"/>
                      <w:sz w:val="21"/>
                      <w:szCs w:val="21"/>
                      <w:lang w:val="en-US" w:eastAsia="zh-CN" w:bidi="ar"/>
                    </w:rPr>
                    <w:t xml:space="preserve">以上，排放浓度可达 </w:t>
                  </w:r>
                  <w:r>
                    <w:rPr>
                      <w:rFonts w:hint="default" w:ascii="Times New Roman" w:hAnsi="Times New Roman" w:eastAsia="宋体" w:cs="Times New Roman"/>
                      <w:color w:val="000000"/>
                      <w:kern w:val="0"/>
                      <w:sz w:val="21"/>
                      <w:szCs w:val="21"/>
                      <w:lang w:val="en-US" w:eastAsia="zh-CN" w:bidi="ar"/>
                    </w:rPr>
                    <w:t>20</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30 mg/m</w:t>
                  </w:r>
                  <w:r>
                    <w:rPr>
                      <w:rFonts w:hint="default" w:ascii="Times New Roman" w:hAnsi="Times New Roman" w:eastAsia="宋体" w:cs="Times New Roman"/>
                      <w:color w:val="000000"/>
                      <w:kern w:val="0"/>
                      <w:sz w:val="21"/>
                      <w:szCs w:val="21"/>
                      <w:vertAlign w:val="superscript"/>
                      <w:lang w:val="en-US" w:eastAsia="zh-CN" w:bidi="ar"/>
                    </w:rPr>
                    <w:t xml:space="preserve">3 </w:t>
                  </w:r>
                  <w:r>
                    <w:rPr>
                      <w:rFonts w:hint="eastAsia" w:ascii="宋体" w:hAnsi="宋体" w:eastAsia="宋体" w:cs="宋体"/>
                      <w:color w:val="000000"/>
                      <w:kern w:val="0"/>
                      <w:sz w:val="21"/>
                      <w:szCs w:val="21"/>
                      <w:lang w:val="en-US" w:eastAsia="zh-CN" w:bidi="ar"/>
                    </w:rPr>
                    <w:t>之间</w:t>
                  </w:r>
                </w:p>
              </w:tc>
              <w:tc>
                <w:tcPr>
                  <w:tcW w:w="550" w:type="pct"/>
                  <w:tcBorders>
                    <w:tl2br w:val="nil"/>
                    <w:tr2bl w:val="nil"/>
                  </w:tcBorders>
                  <w:noWrap w:val="0"/>
                  <w:vAlign w:val="center"/>
                </w:tcPr>
                <w:p>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是</w:t>
                  </w:r>
                </w:p>
              </w:tc>
            </w:tr>
          </w:tbl>
          <w:p>
            <w:pPr>
              <w:pStyle w:val="72"/>
              <w:bidi w:val="0"/>
              <w:rPr>
                <w:rFonts w:hint="eastAsia"/>
                <w:lang w:val="en-US" w:eastAsia="zh-CN"/>
              </w:rPr>
            </w:pPr>
            <w:r>
              <w:rPr>
                <w:rFonts w:hint="eastAsia"/>
                <w:lang w:val="en-US" w:eastAsia="zh-CN"/>
              </w:rPr>
              <w:t>结合上表分析结果可知，本项目工艺废气的治理措施均属于技术规范中推荐的可行技术。</w:t>
            </w:r>
          </w:p>
          <w:p>
            <w:pPr>
              <w:pStyle w:val="72"/>
              <w:bidi w:val="0"/>
              <w:rPr>
                <w:rFonts w:hint="eastAsia"/>
                <w:b/>
                <w:bCs/>
                <w:lang w:val="en-US" w:eastAsia="zh-CN"/>
              </w:rPr>
            </w:pPr>
            <w:r>
              <w:rPr>
                <w:rFonts w:hint="eastAsia"/>
                <w:b/>
                <w:bCs/>
                <w:lang w:val="en-US" w:eastAsia="zh-CN"/>
              </w:rPr>
              <w:t>（2）无组织废气防治措施及其符合性分析</w:t>
            </w:r>
          </w:p>
          <w:p>
            <w:pPr>
              <w:pStyle w:val="72"/>
              <w:bidi w:val="0"/>
              <w:rPr>
                <w:rFonts w:hint="default"/>
                <w:lang w:val="en-US" w:eastAsia="zh-CN"/>
              </w:rPr>
            </w:pPr>
            <w:r>
              <w:rPr>
                <w:rFonts w:hint="eastAsia"/>
                <w:lang w:val="en-US" w:eastAsia="zh-CN"/>
              </w:rPr>
              <w:t>本项目与《铸造工业大气污染物排放标准》（GB39726—2020） 无组织排放控制要求的符合性分析如下。</w:t>
            </w:r>
          </w:p>
          <w:p>
            <w:pPr>
              <w:pStyle w:val="72"/>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 4-4 与《铸造工业大气污染物排放标准》（GB39726—2020）</w:t>
            </w:r>
          </w:p>
          <w:p>
            <w:pPr>
              <w:pStyle w:val="72"/>
              <w:bidi w:val="0"/>
              <w:jc w:val="center"/>
              <w:rPr>
                <w:rFonts w:hint="default" w:ascii="Times New Roman" w:hAnsi="Times New Roman" w:eastAsia="宋体" w:cs="Times New Roman"/>
                <w:b/>
                <w:bCs/>
                <w:sz w:val="2"/>
              </w:rPr>
            </w:pPr>
            <w:r>
              <w:rPr>
                <w:rFonts w:hint="default" w:ascii="Times New Roman" w:hAnsi="Times New Roman" w:eastAsia="宋体" w:cs="Times New Roman"/>
                <w:b/>
                <w:bCs/>
                <w:sz w:val="21"/>
                <w:szCs w:val="21"/>
                <w:lang w:val="en-US" w:eastAsia="zh-CN"/>
              </w:rPr>
              <w:t xml:space="preserve"> 无组织控制措施要求符合性分析表</w:t>
            </w:r>
          </w:p>
          <w:tbl>
            <w:tblPr>
              <w:tblStyle w:val="95"/>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22"/>
              <w:gridCol w:w="3285"/>
              <w:gridCol w:w="8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3823" w:type="dxa"/>
                  <w:vAlign w:val="top"/>
                </w:tcPr>
                <w:p>
                  <w:pPr>
                    <w:spacing w:before="70" w:line="221" w:lineRule="auto"/>
                    <w:ind w:left="1036"/>
                    <w:rPr>
                      <w:rFonts w:hint="default" w:ascii="Times New Roman" w:hAnsi="Times New Roman" w:eastAsia="宋体" w:cs="Times New Roman"/>
                      <w:sz w:val="21"/>
                      <w:szCs w:val="21"/>
                    </w:rPr>
                  </w:pPr>
                  <w:r>
                    <w:rPr>
                      <w:rFonts w:hint="default" w:ascii="Times New Roman" w:hAnsi="Times New Roman" w:eastAsia="宋体" w:cs="Times New Roman"/>
                      <w:sz w:val="21"/>
                      <w:szCs w:val="21"/>
                      <w14:textOutline w14:w="3835" w14:cap="flat" w14:cmpd="sng">
                        <w14:solidFill>
                          <w14:srgbClr w14:val="000000"/>
                        </w14:solidFill>
                        <w14:prstDash w14:val="solid"/>
                        <w14:miter w14:val="0"/>
                      </w14:textOutline>
                    </w:rPr>
                    <w:t>无组织控制措施要求</w:t>
                  </w:r>
                </w:p>
              </w:tc>
              <w:tc>
                <w:tcPr>
                  <w:tcW w:w="3286" w:type="dxa"/>
                  <w:vAlign w:val="top"/>
                </w:tcPr>
                <w:p>
                  <w:pPr>
                    <w:spacing w:before="70" w:line="221" w:lineRule="auto"/>
                    <w:ind w:left="760"/>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14:textOutline w14:w="3835" w14:cap="flat" w14:cmpd="sng">
                        <w14:solidFill>
                          <w14:srgbClr w14:val="000000"/>
                        </w14:solidFill>
                        <w14:prstDash w14:val="solid"/>
                        <w14:miter w14:val="0"/>
                      </w14:textOutline>
                    </w:rPr>
                    <w:t>项目无组织控制措施</w:t>
                  </w:r>
                </w:p>
              </w:tc>
              <w:tc>
                <w:tcPr>
                  <w:tcW w:w="828" w:type="dxa"/>
                  <w:vAlign w:val="top"/>
                </w:tcPr>
                <w:p>
                  <w:pPr>
                    <w:spacing w:before="69" w:line="221" w:lineRule="auto"/>
                    <w:ind w:left="117"/>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14:textOutline w14:w="3835" w14:cap="flat" w14:cmpd="sng">
                        <w14:solidFill>
                          <w14:srgbClr w14:val="000000"/>
                        </w14:solidFill>
                        <w14:prstDash w14:val="solid"/>
                        <w14:miter w14:val="0"/>
                      </w14:textOutline>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3823" w:type="dxa"/>
                  <w:vAlign w:val="top"/>
                </w:tcPr>
                <w:p>
                  <w:pPr>
                    <w:spacing w:before="50" w:line="221" w:lineRule="auto"/>
                    <w:ind w:left="116"/>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14:textOutline w14:w="3835" w14:cap="flat" w14:cmpd="sng">
                        <w14:solidFill>
                          <w14:srgbClr w14:val="000000"/>
                        </w14:solidFill>
                        <w14:prstDash w14:val="solid"/>
                        <w14:miter w14:val="0"/>
                      </w14:textOutline>
                    </w:rPr>
                    <w:t>物料储存</w:t>
                  </w:r>
                </w:p>
                <w:p>
                  <w:pPr>
                    <w:spacing w:before="60" w:line="261" w:lineRule="auto"/>
                    <w:ind w:left="116" w:right="102"/>
                    <w:jc w:val="both"/>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lang w:val="en-US" w:eastAsia="zh-CN"/>
                    </w:rPr>
                    <w:t>5.2.1.1</w:t>
                  </w:r>
                  <w:r>
                    <w:rPr>
                      <w:rFonts w:hint="default" w:ascii="Times New Roman" w:hAnsi="Times New Roman" w:eastAsia="宋体" w:cs="Times New Roman"/>
                      <w:spacing w:val="0"/>
                      <w:sz w:val="21"/>
                      <w:szCs w:val="21"/>
                    </w:rPr>
                    <w:t>煤粉、膨润土等粉状物料和硅砂应袋装或罐装，并储存于封闭储库或半封闭料场 （堆棚）中。半封闭料场（堆棚） 应至少两面有围墙（围挡） 及屋顶。</w:t>
                  </w:r>
                </w:p>
              </w:tc>
              <w:tc>
                <w:tcPr>
                  <w:tcW w:w="3286" w:type="dxa"/>
                  <w:vAlign w:val="top"/>
                </w:tcPr>
                <w:p>
                  <w:pPr>
                    <w:spacing w:before="68" w:line="265" w:lineRule="auto"/>
                    <w:ind w:left="112" w:right="7" w:firstLine="4"/>
                    <w:jc w:val="both"/>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项目</w:t>
                  </w:r>
                  <w:r>
                    <w:rPr>
                      <w:rFonts w:hint="default" w:ascii="Times New Roman" w:hAnsi="Times New Roman" w:eastAsia="宋体" w:cs="Times New Roman"/>
                      <w:spacing w:val="0"/>
                      <w:sz w:val="21"/>
                      <w:szCs w:val="21"/>
                      <w:lang w:eastAsia="zh-CN"/>
                    </w:rPr>
                    <w:t>石英砂</w:t>
                  </w:r>
                  <w:r>
                    <w:rPr>
                      <w:rFonts w:hint="default" w:ascii="Times New Roman" w:hAnsi="Times New Roman" w:eastAsia="宋体" w:cs="Times New Roman"/>
                      <w:spacing w:val="0"/>
                      <w:sz w:val="21"/>
                      <w:szCs w:val="21"/>
                    </w:rPr>
                    <w:t>、</w:t>
                  </w:r>
                  <w:r>
                    <w:rPr>
                      <w:rFonts w:hint="default" w:ascii="Times New Roman" w:hAnsi="Times New Roman" w:eastAsia="宋体" w:cs="Times New Roman"/>
                      <w:spacing w:val="0"/>
                      <w:sz w:val="21"/>
                      <w:szCs w:val="21"/>
                      <w:lang w:val="en-US" w:eastAsia="zh-CN"/>
                    </w:rPr>
                    <w:t>膨润土、硅砂袋装，储存于半封闭堆棚中，堆棚有屋顶及围挡。</w:t>
                  </w:r>
                </w:p>
              </w:tc>
              <w:tc>
                <w:tcPr>
                  <w:tcW w:w="828" w:type="dxa"/>
                  <w:vAlign w:val="center"/>
                </w:tcPr>
                <w:p>
                  <w:pPr>
                    <w:spacing w:before="68" w:line="221" w:lineRule="auto"/>
                    <w:ind w:left="225"/>
                    <w:jc w:val="center"/>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3823" w:type="dxa"/>
                  <w:vAlign w:val="top"/>
                </w:tcPr>
                <w:p>
                  <w:pPr>
                    <w:spacing w:before="63" w:line="265" w:lineRule="auto"/>
                    <w:ind w:left="115" w:right="102" w:firstLine="2"/>
                    <w:jc w:val="both"/>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lang w:val="en-US" w:eastAsia="zh-CN"/>
                    </w:rPr>
                    <w:t>5.2.1.2</w:t>
                  </w:r>
                  <w:r>
                    <w:rPr>
                      <w:rFonts w:hint="default" w:ascii="Times New Roman" w:hAnsi="Times New Roman" w:eastAsia="宋体" w:cs="Times New Roman"/>
                      <w:spacing w:val="0"/>
                      <w:sz w:val="21"/>
                      <w:szCs w:val="21"/>
                    </w:rPr>
                    <w:t>生铁、废钢、焦炭和铁合金等粒状、块状散装物料应储存于封闭储库、料仓中， 或储存于半封闭料场（堆棚）中。半封闭料场（堆棚） 应至少两面有围墙（围挡）及 屋顶， 并对物料采取覆盖、喷淋（雾）等抑尘措施。</w:t>
                  </w:r>
                </w:p>
              </w:tc>
              <w:tc>
                <w:tcPr>
                  <w:tcW w:w="3286" w:type="dxa"/>
                  <w:vAlign w:val="top"/>
                </w:tcPr>
                <w:p>
                  <w:pPr>
                    <w:spacing w:before="68" w:line="265" w:lineRule="auto"/>
                    <w:ind w:left="112" w:right="7" w:firstLine="4"/>
                    <w:jc w:val="both"/>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val="en-US" w:eastAsia="zh-CN"/>
                    </w:rPr>
                    <w:t>生铁等</w:t>
                  </w:r>
                  <w:r>
                    <w:rPr>
                      <w:rFonts w:hint="default" w:ascii="Times New Roman" w:hAnsi="Times New Roman" w:eastAsia="宋体" w:cs="Times New Roman"/>
                      <w:color w:val="auto"/>
                      <w:spacing w:val="0"/>
                      <w:sz w:val="21"/>
                      <w:szCs w:val="21"/>
                    </w:rPr>
                    <w:t>物料采用袋装储存于</w:t>
                  </w:r>
                  <w:r>
                    <w:rPr>
                      <w:rFonts w:hint="default" w:ascii="Times New Roman" w:hAnsi="Times New Roman" w:eastAsia="宋体" w:cs="Times New Roman"/>
                      <w:color w:val="auto"/>
                      <w:spacing w:val="0"/>
                      <w:sz w:val="21"/>
                      <w:szCs w:val="21"/>
                      <w:lang w:val="en-US" w:eastAsia="zh-CN"/>
                    </w:rPr>
                    <w:t>车间内</w:t>
                  </w:r>
                  <w:r>
                    <w:rPr>
                      <w:rFonts w:hint="default" w:ascii="Times New Roman" w:hAnsi="Times New Roman" w:eastAsia="宋体" w:cs="Times New Roman"/>
                      <w:color w:val="auto"/>
                      <w:spacing w:val="0"/>
                      <w:sz w:val="21"/>
                      <w:szCs w:val="21"/>
                    </w:rPr>
                    <w:t>；两面有围墙（围挡）及屋顶，并  对物料采取覆盖等抑尘措施。</w:t>
                  </w:r>
                </w:p>
              </w:tc>
              <w:tc>
                <w:tcPr>
                  <w:tcW w:w="828" w:type="dxa"/>
                  <w:vAlign w:val="top"/>
                </w:tcPr>
                <w:p>
                  <w:pPr>
                    <w:spacing w:before="68" w:line="221" w:lineRule="auto"/>
                    <w:ind w:left="225"/>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3823" w:type="dxa"/>
                  <w:vAlign w:val="top"/>
                </w:tcPr>
                <w:p>
                  <w:pPr>
                    <w:spacing w:before="53" w:line="221" w:lineRule="auto"/>
                    <w:ind w:left="116"/>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14:textOutline w14:w="3835" w14:cap="flat" w14:cmpd="sng">
                        <w14:solidFill>
                          <w14:srgbClr w14:val="000000"/>
                        </w14:solidFill>
                        <w14:prstDash w14:val="solid"/>
                        <w14:miter w14:val="0"/>
                      </w14:textOutline>
                    </w:rPr>
                    <w:t>物料转移和输送</w:t>
                  </w:r>
                </w:p>
                <w:p>
                  <w:pPr>
                    <w:spacing w:before="63" w:line="265" w:lineRule="auto"/>
                    <w:ind w:left="115" w:right="102" w:firstLine="2"/>
                    <w:jc w:val="both"/>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5.2.2.1</w:t>
                  </w:r>
                  <w:r>
                    <w:rPr>
                      <w:rFonts w:hint="default" w:ascii="Times New Roman" w:hAnsi="Times New Roman" w:eastAsia="宋体" w:cs="Times New Roman"/>
                      <w:spacing w:val="0"/>
                      <w:sz w:val="21"/>
                      <w:szCs w:val="21"/>
                    </w:rPr>
                    <w:t>粉状、粒状等易散发粉尘的物料厂内转 移、输送过程， 应封闭； 转移、输送、装卸过程中产尘点应采取集气除尘措施，或 喷淋（雾） 等抑尘措施。</w:t>
                  </w:r>
                </w:p>
              </w:tc>
              <w:tc>
                <w:tcPr>
                  <w:tcW w:w="3286" w:type="dxa"/>
                  <w:vAlign w:val="top"/>
                </w:tcPr>
                <w:p>
                  <w:pPr>
                    <w:spacing w:line="296" w:lineRule="auto"/>
                    <w:rPr>
                      <w:rFonts w:hint="default" w:ascii="Times New Roman" w:hAnsi="Times New Roman" w:eastAsia="宋体" w:cs="Times New Roman"/>
                      <w:spacing w:val="0"/>
                      <w:sz w:val="21"/>
                    </w:rPr>
                  </w:pPr>
                </w:p>
                <w:p>
                  <w:pPr>
                    <w:spacing w:before="69" w:line="257" w:lineRule="auto"/>
                    <w:ind w:left="113" w:right="101" w:firstLine="4"/>
                    <w:jc w:val="both"/>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rPr>
                    <w:t>项目粉状、粒状等易散发粉尘的物 料厂内转移、输送过程采取封闭措 施。</w:t>
                  </w:r>
                </w:p>
              </w:tc>
              <w:tc>
                <w:tcPr>
                  <w:tcW w:w="828" w:type="dxa"/>
                  <w:vAlign w:val="top"/>
                </w:tcPr>
                <w:p>
                  <w:pPr>
                    <w:spacing w:before="68" w:line="221" w:lineRule="auto"/>
                    <w:ind w:left="225"/>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3823" w:type="dxa"/>
                  <w:vAlign w:val="top"/>
                </w:tcPr>
                <w:p>
                  <w:pPr>
                    <w:spacing w:before="63" w:line="265" w:lineRule="auto"/>
                    <w:ind w:left="115" w:right="102" w:firstLine="2"/>
                    <w:jc w:val="both"/>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lang w:val="en-US" w:eastAsia="zh-CN"/>
                    </w:rPr>
                    <w:t>5.2.2.2</w:t>
                  </w:r>
                  <w:r>
                    <w:rPr>
                      <w:rFonts w:hint="default" w:ascii="Times New Roman" w:hAnsi="Times New Roman" w:eastAsia="宋体" w:cs="Times New Roman"/>
                      <w:spacing w:val="0"/>
                      <w:sz w:val="21"/>
                      <w:szCs w:val="21"/>
                    </w:rPr>
                    <w:t xml:space="preserve">除尘器卸灰口应采取遮挡等抑尘措施，除尘灰不得直接卸落到地面。除尘灰采取袋装、罐装等密闭措施收集、存放和运输。 </w:t>
                  </w:r>
                </w:p>
              </w:tc>
              <w:tc>
                <w:tcPr>
                  <w:tcW w:w="3286" w:type="dxa"/>
                  <w:vAlign w:val="top"/>
                </w:tcPr>
                <w:p>
                  <w:pPr>
                    <w:spacing w:before="61" w:line="247" w:lineRule="auto"/>
                    <w:ind w:left="116" w:leftChars="0" w:right="101" w:rightChars="0"/>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除尘器卸灰口采取遮挡措施，除尘灰进行袋装密闭措施，暂存在一般固废暂存场。</w:t>
                  </w:r>
                </w:p>
              </w:tc>
              <w:tc>
                <w:tcPr>
                  <w:tcW w:w="828" w:type="dxa"/>
                  <w:vAlign w:val="top"/>
                </w:tcPr>
                <w:p>
                  <w:pPr>
                    <w:spacing w:before="68" w:line="221" w:lineRule="auto"/>
                    <w:ind w:left="225"/>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3823" w:type="dxa"/>
                  <w:vAlign w:val="top"/>
                </w:tcPr>
                <w:p>
                  <w:pPr>
                    <w:spacing w:before="63" w:line="265" w:lineRule="auto"/>
                    <w:ind w:left="115" w:right="102" w:firstLine="2"/>
                    <w:jc w:val="both"/>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5.2.2.3</w:t>
                  </w:r>
                  <w:r>
                    <w:rPr>
                      <w:rFonts w:hint="default" w:ascii="Times New Roman" w:hAnsi="Times New Roman" w:eastAsia="宋体" w:cs="Times New Roman"/>
                      <w:spacing w:val="0"/>
                      <w:sz w:val="21"/>
                      <w:szCs w:val="21"/>
                    </w:rPr>
                    <w:t>厂区道路应硬化， 并采取定期清扫、洒水等措施，保持清洁</w:t>
                  </w:r>
                </w:p>
              </w:tc>
              <w:tc>
                <w:tcPr>
                  <w:tcW w:w="3286" w:type="dxa"/>
                  <w:vAlign w:val="top"/>
                </w:tcPr>
                <w:p>
                  <w:pPr>
                    <w:spacing w:before="61" w:line="247" w:lineRule="auto"/>
                    <w:ind w:left="116" w:leftChars="0" w:right="101" w:rightChars="0"/>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厂区内道理已硬化，定期清扫、洒水。</w:t>
                  </w:r>
                </w:p>
              </w:tc>
              <w:tc>
                <w:tcPr>
                  <w:tcW w:w="828" w:type="dxa"/>
                  <w:vAlign w:val="top"/>
                </w:tcPr>
                <w:p>
                  <w:pPr>
                    <w:spacing w:before="68" w:line="221" w:lineRule="auto"/>
                    <w:ind w:left="225"/>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3823" w:type="dxa"/>
                  <w:vAlign w:val="top"/>
                </w:tcPr>
                <w:p>
                  <w:pPr>
                    <w:spacing w:before="52" w:line="221" w:lineRule="auto"/>
                    <w:ind w:left="115"/>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14:textOutline w14:w="3835" w14:cap="flat" w14:cmpd="sng">
                        <w14:solidFill>
                          <w14:srgbClr w14:val="000000"/>
                        </w14:solidFill>
                        <w14:prstDash w14:val="solid"/>
                        <w14:miter w14:val="0"/>
                      </w14:textOutline>
                    </w:rPr>
                    <w:t>铸造</w:t>
                  </w:r>
                </w:p>
                <w:p>
                  <w:pPr>
                    <w:spacing w:before="52" w:line="257" w:lineRule="auto"/>
                    <w:ind w:left="115" w:right="103"/>
                    <w:jc w:val="both"/>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5.2.3.3</w:t>
                  </w:r>
                  <w:r>
                    <w:rPr>
                      <w:rFonts w:hint="default" w:ascii="Times New Roman" w:hAnsi="Times New Roman" w:eastAsia="宋体" w:cs="Times New Roman"/>
                      <w:spacing w:val="0"/>
                      <w:sz w:val="21"/>
                      <w:szCs w:val="21"/>
                    </w:rPr>
                    <w:t>造型、制芯、浇注工序产尘点应安装集气罩并配备除尘设施， 或采取喷淋（雾）等 抑尘措施。</w:t>
                  </w:r>
                </w:p>
              </w:tc>
              <w:tc>
                <w:tcPr>
                  <w:tcW w:w="3286" w:type="dxa"/>
                  <w:vAlign w:val="center"/>
                </w:tcPr>
                <w:p>
                  <w:pPr>
                    <w:spacing w:before="59" w:line="257" w:lineRule="auto"/>
                    <w:ind w:left="114" w:right="101" w:firstLine="2"/>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rPr>
                    <w:t>项目</w:t>
                  </w:r>
                  <w:r>
                    <w:rPr>
                      <w:rFonts w:hint="default" w:ascii="Times New Roman" w:hAnsi="Times New Roman" w:eastAsia="宋体" w:cs="Times New Roman"/>
                      <w:spacing w:val="0"/>
                      <w:sz w:val="21"/>
                      <w:szCs w:val="21"/>
                      <w:lang w:val="en-US" w:eastAsia="zh-CN"/>
                    </w:rPr>
                    <w:t>制芯</w:t>
                  </w:r>
                  <w:r>
                    <w:rPr>
                      <w:rFonts w:hint="default" w:ascii="Times New Roman" w:hAnsi="Times New Roman" w:eastAsia="宋体" w:cs="Times New Roman"/>
                      <w:spacing w:val="0"/>
                      <w:sz w:val="21"/>
                      <w:szCs w:val="21"/>
                    </w:rPr>
                    <w:t>、浇注工段</w:t>
                  </w:r>
                  <w:r>
                    <w:rPr>
                      <w:rFonts w:hint="default" w:ascii="Times New Roman" w:hAnsi="Times New Roman" w:eastAsia="宋体" w:cs="Times New Roman"/>
                      <w:spacing w:val="0"/>
                      <w:sz w:val="21"/>
                      <w:szCs w:val="21"/>
                      <w:lang w:val="en-US" w:eastAsia="zh-CN"/>
                    </w:rPr>
                    <w:t>废气采用</w:t>
                  </w:r>
                  <w:r>
                    <w:rPr>
                      <w:rFonts w:hint="default" w:ascii="Times New Roman" w:hAnsi="Times New Roman" w:eastAsia="宋体" w:cs="Times New Roman"/>
                      <w:spacing w:val="0"/>
                      <w:sz w:val="21"/>
                      <w:szCs w:val="21"/>
                    </w:rPr>
                    <w:t>集气罩收集</w:t>
                  </w:r>
                  <w:r>
                    <w:rPr>
                      <w:rFonts w:hint="default" w:ascii="Times New Roman" w:hAnsi="Times New Roman" w:eastAsia="宋体" w:cs="Times New Roman"/>
                      <w:spacing w:val="0"/>
                      <w:sz w:val="21"/>
                      <w:szCs w:val="21"/>
                      <w:lang w:val="en-US" w:eastAsia="zh-CN"/>
                    </w:rPr>
                    <w:t>后进入</w:t>
                  </w:r>
                  <w:r>
                    <w:rPr>
                      <w:rFonts w:hint="default" w:ascii="Times New Roman" w:hAnsi="Times New Roman" w:eastAsia="宋体" w:cs="Times New Roman"/>
                      <w:spacing w:val="0"/>
                      <w:sz w:val="21"/>
                      <w:szCs w:val="21"/>
                    </w:rPr>
                    <w:t>脉冲布袋除尘器</w:t>
                  </w:r>
                  <w:r>
                    <w:rPr>
                      <w:rFonts w:hint="default" w:ascii="Times New Roman" w:hAnsi="Times New Roman" w:eastAsia="宋体" w:cs="Times New Roman"/>
                      <w:spacing w:val="0"/>
                      <w:sz w:val="21"/>
                      <w:szCs w:val="21"/>
                      <w:lang w:val="en-US" w:eastAsia="zh-CN"/>
                    </w:rPr>
                    <w:t>处理</w:t>
                  </w:r>
                  <w:r>
                    <w:rPr>
                      <w:rFonts w:hint="default" w:ascii="Times New Roman" w:hAnsi="Times New Roman" w:eastAsia="宋体" w:cs="Times New Roman"/>
                      <w:spacing w:val="0"/>
                      <w:sz w:val="21"/>
                      <w:szCs w:val="21"/>
                      <w:lang w:eastAsia="zh-CN"/>
                    </w:rPr>
                    <w:t>。</w:t>
                  </w:r>
                </w:p>
              </w:tc>
              <w:tc>
                <w:tcPr>
                  <w:tcW w:w="828" w:type="dxa"/>
                  <w:vAlign w:val="center"/>
                </w:tcPr>
                <w:p>
                  <w:pPr>
                    <w:spacing w:before="68" w:line="221" w:lineRule="auto"/>
                    <w:ind w:left="225"/>
                    <w:jc w:val="center"/>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3823" w:type="dxa"/>
                  <w:vAlign w:val="top"/>
                </w:tcPr>
                <w:p>
                  <w:pPr>
                    <w:spacing w:before="59" w:line="261" w:lineRule="auto"/>
                    <w:ind w:left="116" w:right="103" w:firstLine="1"/>
                    <w:jc w:val="both"/>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lang w:val="en-US" w:eastAsia="zh-CN"/>
                    </w:rPr>
                    <w:t>5.2.3.4</w:t>
                  </w:r>
                  <w:r>
                    <w:rPr>
                      <w:rFonts w:hint="default" w:ascii="Times New Roman" w:hAnsi="Times New Roman" w:eastAsia="宋体" w:cs="Times New Roman"/>
                      <w:spacing w:val="0"/>
                      <w:sz w:val="21"/>
                      <w:szCs w:val="21"/>
                    </w:rPr>
                    <w:t>落砂、</w:t>
                  </w:r>
                  <w:r>
                    <w:rPr>
                      <w:rFonts w:hint="default" w:ascii="Times New Roman" w:hAnsi="Times New Roman" w:eastAsia="宋体" w:cs="Times New Roman"/>
                      <w:spacing w:val="0"/>
                      <w:sz w:val="21"/>
                      <w:szCs w:val="21"/>
                      <w:lang w:eastAsia="zh-CN"/>
                    </w:rPr>
                    <w:t>抛丸清理</w:t>
                  </w:r>
                  <w:r>
                    <w:rPr>
                      <w:rFonts w:hint="default" w:ascii="Times New Roman" w:hAnsi="Times New Roman" w:eastAsia="宋体" w:cs="Times New Roman"/>
                      <w:spacing w:val="0"/>
                      <w:sz w:val="21"/>
                      <w:szCs w:val="21"/>
                    </w:rPr>
                    <w:t>、砂处理工序应在封闭空间内操作， 废气收集至除尘设施； 未在封闭空间内操作的，应采用固定式、移动式集气设备， 并配备除尘设施。</w:t>
                  </w:r>
                </w:p>
              </w:tc>
              <w:tc>
                <w:tcPr>
                  <w:tcW w:w="32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抛丸清洗工序在抛丸机内封闭抛丸，废气经设备自带脉冲布袋除尘设施处理后排放。</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lang w:val="en-US" w:eastAsia="zh-CN"/>
                    </w:rPr>
                    <w:t>砂处理工段废气经</w:t>
                  </w:r>
                  <w:r>
                    <w:rPr>
                      <w:rFonts w:hint="default" w:ascii="Times New Roman" w:hAnsi="Times New Roman" w:eastAsia="宋体" w:cs="Times New Roman"/>
                      <w:spacing w:val="0"/>
                      <w:sz w:val="21"/>
                      <w:szCs w:val="21"/>
                    </w:rPr>
                    <w:t>集气罩收集废气至脉冲布袋除尘器处理；</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冷芯盒射砂造型砂处理设备上方设置集气罩收集废气至脉冲布袋除尘器处理；</w:t>
                  </w:r>
                </w:p>
              </w:tc>
              <w:tc>
                <w:tcPr>
                  <w:tcW w:w="828" w:type="dxa"/>
                  <w:vAlign w:val="center"/>
                </w:tcPr>
                <w:p>
                  <w:pPr>
                    <w:spacing w:before="68" w:line="221" w:lineRule="auto"/>
                    <w:jc w:val="center"/>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3823" w:type="dxa"/>
                  <w:vAlign w:val="top"/>
                </w:tcPr>
                <w:p>
                  <w:pPr>
                    <w:spacing w:before="58" w:line="240" w:lineRule="auto"/>
                    <w:ind w:left="113" w:right="98" w:firstLine="2"/>
                    <w:jc w:val="both"/>
                    <w:rPr>
                      <w:rFonts w:hint="default" w:ascii="Times New Roman" w:hAnsi="Times New Roman" w:eastAsia="宋体" w:cs="Times New Roman"/>
                      <w:b/>
                      <w:bCs/>
                      <w:spacing w:val="0"/>
                      <w:sz w:val="21"/>
                      <w:szCs w:val="21"/>
                    </w:rPr>
                  </w:pPr>
                  <w:r>
                    <w:rPr>
                      <w:rFonts w:hint="default" w:ascii="Times New Roman" w:hAnsi="Times New Roman" w:eastAsia="宋体" w:cs="Times New Roman"/>
                      <w:b/>
                      <w:bCs/>
                      <w:spacing w:val="0"/>
                      <w:sz w:val="21"/>
                      <w:szCs w:val="21"/>
                      <w:lang w:val="en-US" w:eastAsia="zh-CN"/>
                    </w:rPr>
                    <w:t>5.3.1VOCs物料的储存、转移</w:t>
                  </w:r>
                </w:p>
                <w:p>
                  <w:pPr>
                    <w:spacing w:before="58" w:line="240" w:lineRule="auto"/>
                    <w:ind w:left="113" w:right="98" w:firstLine="2"/>
                    <w:jc w:val="both"/>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lang w:val="en-US" w:eastAsia="zh-CN"/>
                    </w:rPr>
                    <w:t xml:space="preserve">5.3.1.1 涂料、树脂、固化剂、稀释剂、清洗剂等 VOCs 物料应储存于密闭的容器、包装袋、储库中。 </w:t>
                  </w:r>
                </w:p>
              </w:tc>
              <w:tc>
                <w:tcPr>
                  <w:tcW w:w="3286" w:type="dxa"/>
                  <w:vMerge w:val="restart"/>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snapToGrid w:val="0"/>
                      <w:spacing w:val="0"/>
                      <w:kern w:val="0"/>
                      <w:sz w:val="21"/>
                      <w:szCs w:val="21"/>
                      <w:lang w:val="en-US" w:eastAsia="zh-CN"/>
                    </w:rPr>
                  </w:pPr>
                  <w:r>
                    <w:rPr>
                      <w:rFonts w:hint="default" w:ascii="Times New Roman" w:hAnsi="Times New Roman" w:eastAsia="宋体" w:cs="Times New Roman"/>
                      <w:snapToGrid w:val="0"/>
                      <w:spacing w:val="0"/>
                      <w:kern w:val="0"/>
                      <w:sz w:val="21"/>
                      <w:szCs w:val="21"/>
                      <w:lang w:val="en-US" w:eastAsia="zh-CN"/>
                    </w:rPr>
                    <w:t>本项目树脂、固化剂VOCs 物料储存于包装桶内。储存于车间内原辅材料库。</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napToGrid w:val="0"/>
                      <w:spacing w:val="0"/>
                      <w:kern w:val="0"/>
                      <w:sz w:val="21"/>
                      <w:szCs w:val="21"/>
                      <w:lang w:val="en-US" w:eastAsia="zh-CN"/>
                    </w:rPr>
                    <w:t>使用时为加盖使用，保持密闭，转移时也是采用包装桶转运。</w:t>
                  </w:r>
                </w:p>
              </w:tc>
              <w:tc>
                <w:tcPr>
                  <w:tcW w:w="828" w:type="dxa"/>
                  <w:vAlign w:val="center"/>
                </w:tcPr>
                <w:p>
                  <w:pPr>
                    <w:spacing w:before="68" w:line="221" w:lineRule="auto"/>
                    <w:ind w:left="225"/>
                    <w:jc w:val="center"/>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3823" w:type="dxa"/>
                  <w:vAlign w:val="top"/>
                </w:tcPr>
                <w:p>
                  <w:pPr>
                    <w:spacing w:before="58" w:line="267" w:lineRule="auto"/>
                    <w:ind w:left="113" w:right="98" w:firstLine="2"/>
                    <w:jc w:val="both"/>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lang w:val="en-US" w:eastAsia="zh-CN"/>
                    </w:rPr>
                    <w:t xml:space="preserve">5.3.1.2 盛装 VOCs 物料的容器或包装袋应存放于室内，或存放于设置有雨棚、遮阳和防渗设施的专 用场地。盛装 VOCs 物料的容器或包装袋在非取用状态时应加盖、封口，保持密闭。转移 VOCs 物料时， 应采用密闭容器。 </w:t>
                  </w:r>
                </w:p>
              </w:tc>
              <w:tc>
                <w:tcPr>
                  <w:tcW w:w="3286" w:type="dxa"/>
                  <w:vMerge w:val="continue"/>
                  <w:vAlign w:val="top"/>
                </w:tcPr>
                <w:p>
                  <w:pPr>
                    <w:spacing w:before="58" w:line="248" w:lineRule="auto"/>
                    <w:ind w:left="113" w:leftChars="0" w:right="101" w:rightChars="0" w:firstLine="4" w:firstLineChars="0"/>
                    <w:rPr>
                      <w:rFonts w:hint="default" w:ascii="Times New Roman" w:hAnsi="Times New Roman" w:eastAsia="宋体" w:cs="Times New Roman"/>
                      <w:spacing w:val="0"/>
                      <w:sz w:val="21"/>
                      <w:szCs w:val="21"/>
                    </w:rPr>
                  </w:pPr>
                </w:p>
              </w:tc>
              <w:tc>
                <w:tcPr>
                  <w:tcW w:w="828" w:type="dxa"/>
                  <w:vAlign w:val="top"/>
                </w:tcPr>
                <w:p>
                  <w:pPr>
                    <w:spacing w:before="68" w:line="221" w:lineRule="auto"/>
                    <w:ind w:left="225"/>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符合</w:t>
                  </w:r>
                </w:p>
              </w:tc>
            </w:tr>
          </w:tbl>
          <w:p>
            <w:pPr>
              <w:pStyle w:val="72"/>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1.3废气排放影响分析</w:t>
            </w:r>
          </w:p>
          <w:p>
            <w:pPr>
              <w:pStyle w:val="72"/>
              <w:bidi w:val="0"/>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color w:val="auto"/>
                <w:sz w:val="24"/>
                <w:lang w:val="en-US" w:eastAsia="zh-CN"/>
              </w:rPr>
              <w:t>综上，本项目各项废气污染治理措施可行，废气能够做到稳定达标排放。建设单位在严格开展自行监测和日常环境管理后，项目运营不会明显降低区域大气环境质量，</w:t>
            </w:r>
            <w:r>
              <w:rPr>
                <w:rFonts w:hint="default" w:ascii="Times New Roman" w:hAnsi="Times New Roman" w:eastAsia="宋体" w:cs="Times New Roman"/>
                <w:b w:val="0"/>
                <w:bCs w:val="0"/>
                <w:sz w:val="24"/>
                <w:lang w:val="en-US" w:eastAsia="zh-CN"/>
              </w:rPr>
              <w:t>对区域大气环境影响可接受。</w:t>
            </w:r>
          </w:p>
          <w:p>
            <w:pPr>
              <w:pStyle w:val="72"/>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2 、废水</w:t>
            </w:r>
          </w:p>
          <w:p>
            <w:pPr>
              <w:pStyle w:val="72"/>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w:t>
            </w:r>
            <w:r>
              <w:rPr>
                <w:rFonts w:hint="default" w:ascii="Times New Roman" w:hAnsi="Times New Roman" w:eastAsia="宋体" w:cs="Times New Roman"/>
                <w:b/>
                <w:bCs/>
                <w:lang w:val="en-US" w:eastAsia="zh-CN"/>
              </w:rPr>
              <w:t>1</w:t>
            </w:r>
            <w:r>
              <w:rPr>
                <w:rFonts w:hint="default" w:ascii="Times New Roman" w:hAnsi="Times New Roman" w:eastAsia="宋体" w:cs="Times New Roman"/>
                <w:b/>
                <w:bCs/>
                <w:lang w:eastAsia="zh-CN"/>
              </w:rPr>
              <w:t>）</w:t>
            </w:r>
            <w:r>
              <w:rPr>
                <w:rFonts w:hint="default" w:ascii="Times New Roman" w:hAnsi="Times New Roman" w:eastAsia="宋体" w:cs="Times New Roman"/>
                <w:b/>
                <w:bCs/>
                <w:lang w:val="en-US" w:eastAsia="zh-CN"/>
              </w:rPr>
              <w:t>生活污水</w:t>
            </w:r>
          </w:p>
          <w:p>
            <w:pPr>
              <w:pStyle w:val="72"/>
              <w:bidi w:val="0"/>
              <w:rPr>
                <w:rFonts w:hint="eastAsia"/>
                <w:lang w:val="en-US" w:eastAsia="zh-CN"/>
              </w:rPr>
            </w:pPr>
            <w:r>
              <w:rPr>
                <w:rFonts w:hint="default" w:ascii="Times New Roman" w:hAnsi="Times New Roman" w:eastAsia="宋体" w:cs="Times New Roman"/>
                <w:lang w:eastAsia="zh-CN"/>
              </w:rPr>
              <w:t>本项目运营期废水主要</w:t>
            </w:r>
            <w:r>
              <w:rPr>
                <w:rFonts w:hint="default" w:ascii="Times New Roman" w:hAnsi="Times New Roman" w:eastAsia="宋体" w:cs="Times New Roman"/>
                <w:lang w:val="en-US" w:eastAsia="zh-CN"/>
              </w:rPr>
              <w:t>为工作</w:t>
            </w:r>
            <w:r>
              <w:rPr>
                <w:rFonts w:hint="default" w:ascii="Times New Roman" w:hAnsi="Times New Roman" w:eastAsia="宋体" w:cs="Times New Roman"/>
                <w:lang w:eastAsia="zh-CN"/>
              </w:rPr>
              <w:t>人员生活污水，</w:t>
            </w:r>
            <w:r>
              <w:rPr>
                <w:rFonts w:hint="default" w:ascii="Times New Roman" w:hAnsi="Times New Roman" w:eastAsia="宋体" w:cs="Times New Roman"/>
                <w:color w:val="000000"/>
                <w:sz w:val="24"/>
                <w:szCs w:val="24"/>
              </w:rPr>
              <w:t>生活废水量为</w:t>
            </w:r>
            <w:r>
              <w:rPr>
                <w:rFonts w:hint="eastAsia" w:cs="Times New Roman"/>
                <w:color w:val="000000"/>
                <w:sz w:val="24"/>
                <w:szCs w:val="24"/>
                <w:lang w:val="en-US" w:eastAsia="zh-CN"/>
              </w:rPr>
              <w:t>0.52</w:t>
            </w:r>
            <w:r>
              <w:rPr>
                <w:rFonts w:hint="eastAsia" w:ascii="Times New Roman" w:hAnsi="Times New Roman" w:eastAsia="宋体" w:cs="Times New Roman"/>
                <w:color w:val="000000"/>
                <w:sz w:val="24"/>
                <w:szCs w:val="24"/>
                <w:lang w:val="en-US" w:eastAsia="zh-CN"/>
              </w:rPr>
              <w:t>t</w:t>
            </w:r>
            <w:r>
              <w:rPr>
                <w:rFonts w:hint="default" w:ascii="Times New Roman" w:hAnsi="Times New Roman" w:eastAsia="宋体" w:cs="Times New Roman"/>
                <w:color w:val="000000"/>
                <w:sz w:val="24"/>
                <w:szCs w:val="24"/>
              </w:rPr>
              <w:t>/d</w:t>
            </w:r>
            <w:r>
              <w:rPr>
                <w:rFonts w:hint="eastAsia" w:cs="Times New Roman"/>
                <w:color w:val="000000"/>
                <w:sz w:val="24"/>
                <w:szCs w:val="24"/>
                <w:lang w:eastAsia="zh-CN"/>
              </w:rPr>
              <w:t>，</w:t>
            </w:r>
            <w:r>
              <w:rPr>
                <w:rFonts w:hint="eastAsia" w:cs="Times New Roman"/>
                <w:color w:val="000000"/>
                <w:sz w:val="24"/>
                <w:szCs w:val="24"/>
                <w:lang w:val="en-US" w:eastAsia="zh-CN"/>
              </w:rPr>
              <w:t>156</w:t>
            </w:r>
            <w:r>
              <w:rPr>
                <w:rFonts w:hint="eastAsia" w:ascii="Times New Roman" w:hAnsi="Times New Roman" w:eastAsia="宋体" w:cs="Times New Roman"/>
                <w:color w:val="000000"/>
                <w:sz w:val="24"/>
                <w:szCs w:val="24"/>
                <w:lang w:val="en-US" w:eastAsia="zh-CN"/>
              </w:rPr>
              <w:t>t</w:t>
            </w:r>
            <w:r>
              <w:rPr>
                <w:rFonts w:hint="default" w:ascii="Times New Roman" w:hAnsi="Times New Roman" w:eastAsia="宋体" w:cs="Times New Roman"/>
                <w:color w:val="000000"/>
                <w:sz w:val="24"/>
                <w:szCs w:val="24"/>
              </w:rPr>
              <w:t>/a</w:t>
            </w:r>
            <w:r>
              <w:rPr>
                <w:rFonts w:hint="eastAsia" w:ascii="Times New Roman" w:hAnsi="Times New Roman" w:eastAsia="宋体" w:cs="Times New Roman"/>
                <w:color w:val="000000"/>
                <w:sz w:val="24"/>
                <w:szCs w:val="24"/>
                <w:lang w:eastAsia="zh-CN"/>
              </w:rPr>
              <w:t>，主要污染物为</w:t>
            </w:r>
            <w:r>
              <w:rPr>
                <w:rFonts w:hint="eastAsia" w:ascii="Times New Roman" w:hAnsi="Times New Roman" w:eastAsia="宋体" w:cs="Times New Roman"/>
                <w:color w:val="000000"/>
                <w:sz w:val="24"/>
                <w:szCs w:val="24"/>
                <w:lang w:val="en-US" w:eastAsia="zh-CN"/>
              </w:rPr>
              <w:t>COD：250mg/</w:t>
            </w:r>
            <w:r>
              <w:rPr>
                <w:rFonts w:hint="eastAsia" w:cs="Times New Roman"/>
                <w:color w:val="000000"/>
                <w:sz w:val="24"/>
                <w:szCs w:val="24"/>
                <w:lang w:val="en-US" w:eastAsia="zh-CN"/>
              </w:rPr>
              <w:t>L</w:t>
            </w:r>
            <w:r>
              <w:rPr>
                <w:rFonts w:hint="eastAsia" w:ascii="Times New Roman" w:hAnsi="Times New Roman" w:eastAsia="宋体" w:cs="Times New Roman"/>
                <w:color w:val="000000"/>
                <w:sz w:val="24"/>
                <w:szCs w:val="24"/>
                <w:lang w:val="en-US" w:eastAsia="zh-CN"/>
              </w:rPr>
              <w:t>、氨氮：25mg/</w:t>
            </w:r>
            <w:r>
              <w:rPr>
                <w:rFonts w:hint="eastAsia" w:cs="Times New Roman"/>
                <w:color w:val="000000"/>
                <w:sz w:val="24"/>
                <w:szCs w:val="24"/>
                <w:lang w:val="en-US" w:eastAsia="zh-CN"/>
              </w:rPr>
              <w:t>L</w:t>
            </w:r>
            <w:r>
              <w:rPr>
                <w:rFonts w:hint="eastAsia" w:ascii="Times New Roman" w:hAnsi="Times New Roman" w:eastAsia="宋体" w:cs="Times New Roman"/>
                <w:color w:val="000000"/>
                <w:sz w:val="24"/>
                <w:szCs w:val="24"/>
                <w:lang w:val="en-US" w:eastAsia="zh-CN"/>
              </w:rPr>
              <w:t>，产生量分别为COD：</w:t>
            </w:r>
            <w:r>
              <w:rPr>
                <w:rFonts w:hint="eastAsia" w:cs="Times New Roman"/>
                <w:color w:val="000000"/>
                <w:sz w:val="24"/>
                <w:szCs w:val="24"/>
                <w:lang w:val="en-US" w:eastAsia="zh-CN"/>
              </w:rPr>
              <w:t>0.039</w:t>
            </w:r>
            <w:r>
              <w:rPr>
                <w:rFonts w:hint="eastAsia" w:ascii="Times New Roman" w:hAnsi="Times New Roman" w:eastAsia="宋体" w:cs="Times New Roman"/>
                <w:color w:val="000000"/>
                <w:sz w:val="24"/>
                <w:szCs w:val="24"/>
                <w:lang w:val="en-US" w:eastAsia="zh-CN"/>
              </w:rPr>
              <w:t>t/a，氨氮：</w:t>
            </w:r>
            <w:r>
              <w:rPr>
                <w:rFonts w:hint="eastAsia" w:cs="Times New Roman"/>
                <w:color w:val="000000"/>
                <w:sz w:val="24"/>
                <w:szCs w:val="24"/>
                <w:lang w:val="en-US" w:eastAsia="zh-CN"/>
              </w:rPr>
              <w:t>0.0039</w:t>
            </w:r>
            <w:r>
              <w:rPr>
                <w:rFonts w:hint="eastAsia" w:ascii="Times New Roman" w:hAnsi="Times New Roman" w:eastAsia="宋体" w:cs="Times New Roman"/>
                <w:color w:val="000000"/>
                <w:sz w:val="24"/>
                <w:szCs w:val="24"/>
                <w:lang w:val="en-US" w:eastAsia="zh-CN"/>
              </w:rPr>
              <w:t>t/a</w:t>
            </w:r>
            <w:r>
              <w:rPr>
                <w:rFonts w:hint="eastAsia" w:cs="Times New Roman"/>
                <w:color w:val="000000"/>
                <w:sz w:val="24"/>
                <w:szCs w:val="24"/>
                <w:lang w:val="en-US" w:eastAsia="zh-CN"/>
              </w:rPr>
              <w:t>。</w:t>
            </w:r>
            <w:r>
              <w:rPr>
                <w:rFonts w:hint="eastAsia"/>
                <w:lang w:val="en-US" w:eastAsia="zh-CN"/>
              </w:rPr>
              <w:t>项目周边农田广大，生活污水经旱厕处理后为周边农田消纳使用。</w:t>
            </w:r>
          </w:p>
          <w:p>
            <w:pPr>
              <w:pStyle w:val="72"/>
              <w:bidi w:val="0"/>
              <w:rPr>
                <w:rFonts w:hint="eastAsia"/>
                <w:b/>
                <w:bCs/>
                <w:lang w:eastAsia="zh-CN"/>
              </w:rPr>
            </w:pPr>
            <w:r>
              <w:rPr>
                <w:rFonts w:hint="eastAsia"/>
                <w:b/>
                <w:bCs/>
                <w:lang w:val="en-US" w:eastAsia="zh-CN"/>
              </w:rPr>
              <w:t xml:space="preserve">（2）三乙胺净化用水 </w:t>
            </w:r>
          </w:p>
          <w:p>
            <w:pPr>
              <w:pStyle w:val="72"/>
              <w:bidi w:val="0"/>
              <w:rPr>
                <w:rFonts w:hint="eastAsia"/>
                <w:lang w:eastAsia="zh-CN"/>
              </w:rPr>
            </w:pPr>
            <w:r>
              <w:rPr>
                <w:rFonts w:hint="eastAsia"/>
                <w:lang w:val="en-US" w:eastAsia="zh-CN"/>
              </w:rPr>
              <w:t>净化塔处理废气量共 5000m</w:t>
            </w:r>
            <w:r>
              <w:rPr>
                <w:rFonts w:hint="eastAsia"/>
                <w:vertAlign w:val="superscript"/>
                <w:lang w:val="en-US" w:eastAsia="zh-CN"/>
              </w:rPr>
              <w:t>3</w:t>
            </w:r>
            <w:r>
              <w:rPr>
                <w:rFonts w:hint="eastAsia"/>
                <w:lang w:val="en-US" w:eastAsia="zh-CN"/>
              </w:rPr>
              <w:t xml:space="preserve"> /h，液气比设计值为 1L/m</w:t>
            </w:r>
            <w:r>
              <w:rPr>
                <w:rFonts w:hint="eastAsia"/>
                <w:vertAlign w:val="superscript"/>
                <w:lang w:val="en-US" w:eastAsia="zh-CN"/>
              </w:rPr>
              <w:t>3</w:t>
            </w:r>
            <w:r>
              <w:rPr>
                <w:rFonts w:hint="eastAsia"/>
                <w:lang w:val="en-US" w:eastAsia="zh-CN"/>
              </w:rPr>
              <w:t>，则净化塔循环用水量为5m</w:t>
            </w:r>
            <w:r>
              <w:rPr>
                <w:rFonts w:hint="eastAsia"/>
                <w:vertAlign w:val="superscript"/>
                <w:lang w:val="en-US" w:eastAsia="zh-CN"/>
              </w:rPr>
              <w:t xml:space="preserve"> 3</w:t>
            </w:r>
            <w:r>
              <w:rPr>
                <w:rFonts w:hint="eastAsia"/>
                <w:lang w:val="en-US" w:eastAsia="zh-CN"/>
              </w:rPr>
              <w:t>/h，补充损耗量按循环量的 2%计，排水量按照补水量的 10%计，则三乙胺净化补充水0.1m</w:t>
            </w:r>
            <w:r>
              <w:rPr>
                <w:rFonts w:hint="eastAsia"/>
                <w:vertAlign w:val="superscript"/>
                <w:lang w:val="en-US" w:eastAsia="zh-CN"/>
              </w:rPr>
              <w:t>3</w:t>
            </w:r>
            <w:r>
              <w:rPr>
                <w:rFonts w:hint="eastAsia"/>
                <w:lang w:val="en-US" w:eastAsia="zh-CN"/>
              </w:rPr>
              <w:t xml:space="preserve"> /h，0.4m</w:t>
            </w:r>
            <w:r>
              <w:rPr>
                <w:rFonts w:hint="eastAsia"/>
                <w:vertAlign w:val="superscript"/>
                <w:lang w:val="en-US" w:eastAsia="zh-CN"/>
              </w:rPr>
              <w:t>3</w:t>
            </w:r>
            <w:r>
              <w:rPr>
                <w:rFonts w:hint="eastAsia"/>
                <w:lang w:val="en-US" w:eastAsia="zh-CN"/>
              </w:rPr>
              <w:t xml:space="preserve"> /a，120m</w:t>
            </w:r>
            <w:r>
              <w:rPr>
                <w:rFonts w:hint="eastAsia"/>
                <w:vertAlign w:val="superscript"/>
                <w:lang w:val="en-US" w:eastAsia="zh-CN"/>
              </w:rPr>
              <w:t>3</w:t>
            </w:r>
            <w:r>
              <w:rPr>
                <w:rFonts w:hint="eastAsia"/>
                <w:lang w:val="en-US" w:eastAsia="zh-CN"/>
              </w:rPr>
              <w:t xml:space="preserve"> /a，废水量为0.01m</w:t>
            </w:r>
            <w:r>
              <w:rPr>
                <w:rFonts w:hint="eastAsia"/>
                <w:vertAlign w:val="superscript"/>
                <w:lang w:val="en-US" w:eastAsia="zh-CN"/>
              </w:rPr>
              <w:t>3</w:t>
            </w:r>
            <w:r>
              <w:rPr>
                <w:rFonts w:hint="eastAsia"/>
                <w:lang w:val="en-US" w:eastAsia="zh-CN"/>
              </w:rPr>
              <w:t xml:space="preserve"> /h，12m</w:t>
            </w:r>
            <w:r>
              <w:rPr>
                <w:rFonts w:hint="eastAsia"/>
                <w:vertAlign w:val="superscript"/>
                <w:lang w:val="en-US" w:eastAsia="zh-CN"/>
              </w:rPr>
              <w:t>3</w:t>
            </w:r>
            <w:r>
              <w:rPr>
                <w:rFonts w:hint="eastAsia"/>
                <w:lang w:val="en-US" w:eastAsia="zh-CN"/>
              </w:rPr>
              <w:t xml:space="preserve"> /a，主要污染物为 COD、BOD</w:t>
            </w:r>
            <w:r>
              <w:rPr>
                <w:rFonts w:hint="eastAsia"/>
                <w:vertAlign w:val="subscript"/>
                <w:lang w:val="en-US" w:eastAsia="zh-CN"/>
              </w:rPr>
              <w:t>5</w:t>
            </w:r>
            <w:r>
              <w:rPr>
                <w:rFonts w:hint="eastAsia"/>
                <w:lang w:val="en-US" w:eastAsia="zh-CN"/>
              </w:rPr>
              <w:t>、NH</w:t>
            </w:r>
            <w:r>
              <w:rPr>
                <w:rFonts w:hint="eastAsia"/>
                <w:vertAlign w:val="subscript"/>
                <w:lang w:val="en-US" w:eastAsia="zh-CN"/>
              </w:rPr>
              <w:t>3</w:t>
            </w:r>
            <w:r>
              <w:rPr>
                <w:rFonts w:hint="eastAsia"/>
                <w:lang w:val="en-US" w:eastAsia="zh-CN"/>
              </w:rPr>
              <w:t>-N、SS、总磷。该部分废水作为危险废物委托给危废处置单位处置。</w:t>
            </w:r>
          </w:p>
          <w:p>
            <w:pPr>
              <w:spacing w:line="360" w:lineRule="auto"/>
              <w:ind w:firstLine="480" w:firstLineChars="200"/>
              <w:jc w:val="both"/>
              <w:rPr>
                <w:rFonts w:hint="eastAsia" w:ascii="Times New Roman" w:hAnsi="Times New Roman" w:eastAsia="宋体" w:cs="Times New Roman"/>
                <w:color w:val="auto"/>
                <w:kern w:val="2"/>
                <w:sz w:val="24"/>
                <w:szCs w:val="22"/>
                <w:lang w:val="en-US" w:eastAsia="zh-CN" w:bidi="ar-SA"/>
              </w:rPr>
            </w:pPr>
            <w:r>
              <w:rPr>
                <w:rStyle w:val="73"/>
                <w:rFonts w:hint="eastAsia"/>
                <w:lang w:val="en-US" w:eastAsia="zh-CN"/>
              </w:rPr>
              <w:t>本项目废水产排情况见下表</w:t>
            </w:r>
            <w:r>
              <w:rPr>
                <w:rFonts w:hint="eastAsia" w:ascii="Times New Roman" w:hAnsi="Times New Roman" w:eastAsia="宋体" w:cs="Times New Roman"/>
                <w:color w:val="auto"/>
                <w:kern w:val="2"/>
                <w:sz w:val="24"/>
                <w:szCs w:val="22"/>
                <w:lang w:val="en-US" w:eastAsia="zh-CN" w:bidi="ar-SA"/>
              </w:rPr>
              <w:t>。</w:t>
            </w:r>
          </w:p>
          <w:p>
            <w:pPr>
              <w:pStyle w:val="90"/>
              <w:bidi w:val="0"/>
              <w:rPr>
                <w:rFonts w:hint="default"/>
                <w:color w:val="auto"/>
                <w:lang w:val="en-US" w:eastAsia="zh-CN"/>
              </w:rPr>
            </w:pPr>
            <w:r>
              <w:rPr>
                <w:rFonts w:hint="eastAsia"/>
                <w:color w:val="auto"/>
                <w:lang w:val="en-US" w:eastAsia="zh-CN"/>
              </w:rPr>
              <w:t>表4-5 项目废水产排情况一览表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836"/>
              <w:gridCol w:w="919"/>
              <w:gridCol w:w="1167"/>
              <w:gridCol w:w="2010"/>
              <w:gridCol w:w="1682"/>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5" w:type="dxa"/>
                  <w:vMerge w:val="restart"/>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r>
                    <w:rPr>
                      <w:rFonts w:hint="eastAsia"/>
                      <w:lang w:val="en-US" w:eastAsia="zh-CN"/>
                    </w:rPr>
                    <w:t>类别</w:t>
                  </w:r>
                </w:p>
              </w:tc>
              <w:tc>
                <w:tcPr>
                  <w:tcW w:w="836" w:type="dxa"/>
                  <w:vMerge w:val="restart"/>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r>
                    <w:rPr>
                      <w:rFonts w:hint="eastAsia"/>
                      <w:lang w:val="en-US" w:eastAsia="zh-CN"/>
                    </w:rPr>
                    <w:t>污染物</w:t>
                  </w:r>
                </w:p>
              </w:tc>
              <w:tc>
                <w:tcPr>
                  <w:tcW w:w="919" w:type="dxa"/>
                  <w:vMerge w:val="restart"/>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r>
                    <w:rPr>
                      <w:rFonts w:hint="eastAsia"/>
                      <w:lang w:val="en-US" w:eastAsia="zh-CN"/>
                    </w:rPr>
                    <w:t>产生量</w:t>
                  </w:r>
                </w:p>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lang w:val="en-US" w:eastAsia="zh-CN"/>
                    </w:rPr>
                  </w:pPr>
                  <w:r>
                    <w:rPr>
                      <w:rFonts w:hint="eastAsia"/>
                      <w:lang w:val="en-US" w:eastAsia="zh-CN"/>
                    </w:rPr>
                    <w:t>t/a</w:t>
                  </w:r>
                </w:p>
              </w:tc>
              <w:tc>
                <w:tcPr>
                  <w:tcW w:w="1167" w:type="dxa"/>
                  <w:vMerge w:val="restart"/>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lang w:val="en-US" w:eastAsia="zh-CN"/>
                    </w:rPr>
                  </w:pPr>
                  <w:r>
                    <w:rPr>
                      <w:rFonts w:hint="eastAsia"/>
                      <w:lang w:val="en-US" w:eastAsia="zh-CN"/>
                    </w:rPr>
                    <w:t>产生浓度mg/L</w:t>
                  </w:r>
                </w:p>
              </w:tc>
              <w:tc>
                <w:tcPr>
                  <w:tcW w:w="3692" w:type="dxa"/>
                  <w:gridSpan w:val="2"/>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lang w:val="en-US" w:eastAsia="zh-CN"/>
                    </w:rPr>
                  </w:pPr>
                  <w:r>
                    <w:rPr>
                      <w:rFonts w:hint="eastAsia"/>
                      <w:lang w:val="en-US" w:eastAsia="zh-CN"/>
                    </w:rPr>
                    <w:t>治理措施</w:t>
                  </w:r>
                </w:p>
              </w:tc>
              <w:tc>
                <w:tcPr>
                  <w:tcW w:w="827" w:type="dxa"/>
                  <w:vMerge w:val="restart"/>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r>
                    <w:rPr>
                      <w:rFonts w:hint="eastAsia"/>
                      <w:lang w:val="en-US" w:eastAsia="zh-CN"/>
                    </w:rPr>
                    <w:t>排放量</w:t>
                  </w:r>
                </w:p>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r>
                    <w:rPr>
                      <w:rFonts w:hint="eastAsia"/>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5" w:type="dxa"/>
                  <w:vMerge w:val="continue"/>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p>
              </w:tc>
              <w:tc>
                <w:tcPr>
                  <w:tcW w:w="836" w:type="dxa"/>
                  <w:vMerge w:val="continue"/>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p>
              </w:tc>
              <w:tc>
                <w:tcPr>
                  <w:tcW w:w="919" w:type="dxa"/>
                  <w:vMerge w:val="continue"/>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p>
              </w:tc>
              <w:tc>
                <w:tcPr>
                  <w:tcW w:w="1167" w:type="dxa"/>
                  <w:vMerge w:val="continue"/>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p>
              </w:tc>
              <w:tc>
                <w:tcPr>
                  <w:tcW w:w="2010" w:type="dxa"/>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lang w:val="en-US" w:eastAsia="zh-CN"/>
                    </w:rPr>
                  </w:pPr>
                  <w:r>
                    <w:rPr>
                      <w:rFonts w:hint="eastAsia"/>
                      <w:lang w:val="en-US" w:eastAsia="zh-CN"/>
                    </w:rPr>
                    <w:t>处理能力、治理工艺</w:t>
                  </w:r>
                </w:p>
              </w:tc>
              <w:tc>
                <w:tcPr>
                  <w:tcW w:w="1682" w:type="dxa"/>
                  <w:vAlign w:val="center"/>
                </w:tcPr>
                <w:p>
                  <w:pPr>
                    <w:pStyle w:val="68"/>
                    <w:keepNext w:val="0"/>
                    <w:keepLines w:val="0"/>
                    <w:pageBreakBefore w:val="0"/>
                    <w:widowControl/>
                    <w:kinsoku/>
                    <w:wordWrap/>
                    <w:overflowPunct/>
                    <w:topLinePunct w:val="0"/>
                    <w:autoSpaceDE/>
                    <w:autoSpaceDN/>
                    <w:bidi w:val="0"/>
                    <w:adjustRightInd/>
                    <w:snapToGrid/>
                    <w:ind w:left="-210" w:leftChars="-100" w:right="-210" w:rightChars="-100"/>
                    <w:jc w:val="center"/>
                    <w:textAlignment w:val="auto"/>
                    <w:rPr>
                      <w:rFonts w:hint="default"/>
                      <w:lang w:val="en-US" w:eastAsia="zh-CN"/>
                    </w:rPr>
                  </w:pPr>
                  <w:r>
                    <w:rPr>
                      <w:rFonts w:hint="default"/>
                      <w:lang w:val="en-US" w:eastAsia="zh-CN"/>
                    </w:rPr>
                    <w:t>是否为可行技术</w:t>
                  </w:r>
                </w:p>
              </w:tc>
              <w:tc>
                <w:tcPr>
                  <w:tcW w:w="827" w:type="dxa"/>
                  <w:vMerge w:val="continue"/>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5" w:type="dxa"/>
                  <w:vMerge w:val="restart"/>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r>
                    <w:rPr>
                      <w:rFonts w:hint="eastAsia"/>
                      <w:lang w:val="en-US" w:eastAsia="zh-CN"/>
                    </w:rPr>
                    <w:t>生活污水</w:t>
                  </w:r>
                </w:p>
              </w:tc>
              <w:tc>
                <w:tcPr>
                  <w:tcW w:w="836" w:type="dxa"/>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r>
                    <w:rPr>
                      <w:rFonts w:hint="eastAsia"/>
                      <w:lang w:val="en-US" w:eastAsia="zh-CN"/>
                    </w:rPr>
                    <w:t>废水量</w:t>
                  </w:r>
                </w:p>
              </w:tc>
              <w:tc>
                <w:tcPr>
                  <w:tcW w:w="919" w:type="dxa"/>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lang w:val="en-US" w:eastAsia="zh-CN"/>
                    </w:rPr>
                  </w:pPr>
                  <w:r>
                    <w:rPr>
                      <w:rFonts w:hint="eastAsia"/>
                      <w:lang w:val="en-US" w:eastAsia="zh-CN"/>
                    </w:rPr>
                    <w:t>156</w:t>
                  </w:r>
                </w:p>
              </w:tc>
              <w:tc>
                <w:tcPr>
                  <w:tcW w:w="1167" w:type="dxa"/>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lang w:val="en-US" w:eastAsia="zh-CN"/>
                    </w:rPr>
                  </w:pPr>
                  <w:r>
                    <w:rPr>
                      <w:rFonts w:hint="eastAsia"/>
                      <w:lang w:val="en-US" w:eastAsia="zh-CN"/>
                    </w:rPr>
                    <w:t>/</w:t>
                  </w:r>
                </w:p>
              </w:tc>
              <w:tc>
                <w:tcPr>
                  <w:tcW w:w="2010" w:type="dxa"/>
                  <w:vMerge w:val="restart"/>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r>
                    <w:rPr>
                      <w:rFonts w:hint="eastAsia"/>
                      <w:lang w:val="en-US" w:eastAsia="zh-CN"/>
                    </w:rPr>
                    <w:t>旱厕</w:t>
                  </w:r>
                </w:p>
              </w:tc>
              <w:tc>
                <w:tcPr>
                  <w:tcW w:w="1682" w:type="dxa"/>
                  <w:vMerge w:val="restart"/>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r>
                    <w:rPr>
                      <w:rFonts w:hint="default"/>
                      <w:lang w:val="en-US" w:eastAsia="zh-CN"/>
                    </w:rPr>
                    <w:t>是</w:t>
                  </w:r>
                </w:p>
              </w:tc>
              <w:tc>
                <w:tcPr>
                  <w:tcW w:w="827" w:type="dxa"/>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5" w:type="dxa"/>
                  <w:vMerge w:val="continue"/>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p>
              </w:tc>
              <w:tc>
                <w:tcPr>
                  <w:tcW w:w="836" w:type="dxa"/>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r>
                    <w:rPr>
                      <w:rFonts w:hint="eastAsia"/>
                      <w:lang w:val="en-US" w:eastAsia="zh-CN"/>
                    </w:rPr>
                    <w:t>COD</w:t>
                  </w:r>
                </w:p>
              </w:tc>
              <w:tc>
                <w:tcPr>
                  <w:tcW w:w="919" w:type="dxa"/>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lang w:val="en-US" w:eastAsia="zh-CN"/>
                    </w:rPr>
                  </w:pPr>
                  <w:r>
                    <w:rPr>
                      <w:rFonts w:hint="eastAsia"/>
                      <w:lang w:val="en-US" w:eastAsia="zh-CN"/>
                    </w:rPr>
                    <w:t>0.039</w:t>
                  </w:r>
                </w:p>
              </w:tc>
              <w:tc>
                <w:tcPr>
                  <w:tcW w:w="1167" w:type="dxa"/>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lang w:val="en-US" w:eastAsia="zh-CN"/>
                    </w:rPr>
                  </w:pPr>
                  <w:r>
                    <w:rPr>
                      <w:rFonts w:hint="eastAsia"/>
                      <w:lang w:val="en-US" w:eastAsia="zh-CN"/>
                    </w:rPr>
                    <w:t>250</w:t>
                  </w:r>
                </w:p>
              </w:tc>
              <w:tc>
                <w:tcPr>
                  <w:tcW w:w="2010" w:type="dxa"/>
                  <w:vMerge w:val="continue"/>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p>
              </w:tc>
              <w:tc>
                <w:tcPr>
                  <w:tcW w:w="1682" w:type="dxa"/>
                  <w:vMerge w:val="continue"/>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p>
              </w:tc>
              <w:tc>
                <w:tcPr>
                  <w:tcW w:w="827" w:type="dxa"/>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5" w:type="dxa"/>
                  <w:vMerge w:val="continue"/>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p>
              </w:tc>
              <w:tc>
                <w:tcPr>
                  <w:tcW w:w="836" w:type="dxa"/>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lang w:val="en-US" w:eastAsia="zh-CN"/>
                    </w:rPr>
                  </w:pPr>
                  <w:r>
                    <w:rPr>
                      <w:rFonts w:hint="eastAsia" w:cs="Times New Roman"/>
                      <w:kern w:val="0"/>
                      <w:sz w:val="21"/>
                      <w:szCs w:val="22"/>
                      <w:lang w:val="en-US" w:eastAsia="zh-CN" w:bidi="ar-SA"/>
                    </w:rPr>
                    <w:t>氨氮</w:t>
                  </w:r>
                </w:p>
              </w:tc>
              <w:tc>
                <w:tcPr>
                  <w:tcW w:w="919" w:type="dxa"/>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lang w:val="en-US" w:eastAsia="zh-CN"/>
                    </w:rPr>
                  </w:pPr>
                  <w:r>
                    <w:rPr>
                      <w:rFonts w:hint="eastAsia"/>
                      <w:lang w:val="en-US" w:eastAsia="zh-CN"/>
                    </w:rPr>
                    <w:t>0.0039</w:t>
                  </w:r>
                </w:p>
              </w:tc>
              <w:tc>
                <w:tcPr>
                  <w:tcW w:w="1167" w:type="dxa"/>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lang w:val="en-US" w:eastAsia="zh-CN"/>
                    </w:rPr>
                  </w:pPr>
                  <w:r>
                    <w:rPr>
                      <w:rFonts w:hint="eastAsia"/>
                      <w:lang w:val="en-US" w:eastAsia="zh-CN"/>
                    </w:rPr>
                    <w:t>25</w:t>
                  </w:r>
                </w:p>
              </w:tc>
              <w:tc>
                <w:tcPr>
                  <w:tcW w:w="2010" w:type="dxa"/>
                  <w:vMerge w:val="continue"/>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p>
              </w:tc>
              <w:tc>
                <w:tcPr>
                  <w:tcW w:w="1682" w:type="dxa"/>
                  <w:vMerge w:val="continue"/>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p>
              </w:tc>
              <w:tc>
                <w:tcPr>
                  <w:tcW w:w="827" w:type="dxa"/>
                  <w:vAlign w:val="center"/>
                </w:tcPr>
                <w:p>
                  <w:pPr>
                    <w:pStyle w:val="68"/>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0</w:t>
                  </w:r>
                </w:p>
              </w:tc>
            </w:tr>
          </w:tbl>
          <w:p>
            <w:pPr>
              <w:pStyle w:val="82"/>
              <w:bidi w:val="0"/>
              <w:rPr>
                <w:rFonts w:hint="eastAsia"/>
                <w:b/>
                <w:bCs/>
                <w:lang w:eastAsia="zh-CN"/>
              </w:rPr>
            </w:pPr>
            <w:r>
              <w:rPr>
                <w:rFonts w:hint="default"/>
                <w:b/>
                <w:bCs/>
              </w:rPr>
              <w:t>3</w:t>
            </w:r>
            <w:r>
              <w:rPr>
                <w:rFonts w:hint="eastAsia"/>
                <w:b/>
                <w:bCs/>
                <w:lang w:val="en-US" w:eastAsia="zh-CN"/>
              </w:rPr>
              <w:t xml:space="preserve"> 、</w:t>
            </w:r>
            <w:r>
              <w:rPr>
                <w:rFonts w:hint="default"/>
                <w:b/>
                <w:bCs/>
              </w:rPr>
              <w:t>噪声</w:t>
            </w:r>
          </w:p>
          <w:p>
            <w:pPr>
              <w:pStyle w:val="72"/>
              <w:bidi w:val="0"/>
              <w:rPr>
                <w:rFonts w:hint="default"/>
              </w:rPr>
            </w:pPr>
            <w:r>
              <w:rPr>
                <w:rFonts w:hint="default" w:ascii="Times New Roman" w:hAnsi="Times New Roman" w:cs="Times New Roman"/>
                <w:color w:val="auto"/>
                <w:lang w:val="en-US" w:eastAsia="zh-CN"/>
              </w:rPr>
              <w:t>本项目噪声源主要是</w:t>
            </w:r>
            <w:r>
              <w:rPr>
                <w:rFonts w:hint="eastAsia" w:cs="Times New Roman"/>
                <w:color w:val="auto"/>
                <w:lang w:val="en-US" w:eastAsia="zh-CN"/>
              </w:rPr>
              <w:t>中频熔炼炉、抛丸清理</w:t>
            </w:r>
            <w:r>
              <w:rPr>
                <w:rFonts w:hint="default" w:ascii="Times New Roman" w:hAnsi="Times New Roman" w:cs="Times New Roman"/>
                <w:color w:val="auto"/>
                <w:lang w:val="en-US" w:eastAsia="zh-CN"/>
              </w:rPr>
              <w:t>机、</w:t>
            </w:r>
            <w:r>
              <w:rPr>
                <w:rFonts w:hint="eastAsia" w:cs="Times New Roman"/>
                <w:color w:val="auto"/>
                <w:lang w:val="en-US" w:eastAsia="zh-CN"/>
              </w:rPr>
              <w:t>混砂机</w:t>
            </w:r>
            <w:r>
              <w:rPr>
                <w:rFonts w:hint="default" w:ascii="Times New Roman" w:hAnsi="Times New Roman" w:cs="Times New Roman"/>
                <w:color w:val="auto"/>
                <w:lang w:val="en-US" w:eastAsia="zh-CN"/>
              </w:rPr>
              <w:t>、冷芯盒射砂机、</w:t>
            </w:r>
            <w:r>
              <w:rPr>
                <w:rFonts w:hint="eastAsia" w:cs="Times New Roman"/>
                <w:color w:val="auto"/>
                <w:lang w:val="en-US" w:eastAsia="zh-CN"/>
              </w:rPr>
              <w:t>真空泵、</w:t>
            </w:r>
            <w:r>
              <w:rPr>
                <w:rFonts w:hint="default" w:ascii="Times New Roman" w:hAnsi="Times New Roman" w:cs="Times New Roman"/>
                <w:color w:val="auto"/>
                <w:lang w:val="en-US" w:eastAsia="zh-CN"/>
              </w:rPr>
              <w:t>风机等设备。对设备噪声源强</w:t>
            </w:r>
            <w:r>
              <w:rPr>
                <w:rFonts w:hint="eastAsia" w:cs="Times New Roman"/>
                <w:color w:val="auto"/>
                <w:lang w:val="en-US" w:eastAsia="zh-CN"/>
              </w:rPr>
              <w:t>及采取的减噪措施进行调查</w:t>
            </w:r>
            <w:r>
              <w:rPr>
                <w:rFonts w:hint="default" w:ascii="Times New Roman" w:hAnsi="Times New Roman" w:cs="Times New Roman"/>
                <w:color w:val="auto"/>
                <w:lang w:val="en-US" w:eastAsia="zh-CN"/>
              </w:rPr>
              <w:t>，</w:t>
            </w:r>
            <w:r>
              <w:rPr>
                <w:rFonts w:hint="default"/>
              </w:rPr>
              <w:t>本项目噪声源强及治理措施详见下表。</w:t>
            </w:r>
          </w:p>
          <w:p>
            <w:pPr>
              <w:pStyle w:val="70"/>
              <w:bidi w:val="0"/>
              <w:rPr>
                <w:rFonts w:hint="default"/>
                <w:color w:val="auto"/>
              </w:rPr>
            </w:pPr>
            <w:r>
              <w:rPr>
                <w:rFonts w:hint="default"/>
                <w:color w:val="auto"/>
              </w:rPr>
              <w:t>表</w:t>
            </w:r>
            <w:r>
              <w:rPr>
                <w:rFonts w:hint="eastAsia"/>
                <w:color w:val="auto"/>
                <w:lang w:val="en-US" w:eastAsia="zh-CN"/>
              </w:rPr>
              <w:t>4</w:t>
            </w:r>
            <w:r>
              <w:rPr>
                <w:rFonts w:hint="default"/>
                <w:color w:val="auto"/>
              </w:rPr>
              <w:t>-</w:t>
            </w:r>
            <w:r>
              <w:rPr>
                <w:rFonts w:hint="eastAsia"/>
                <w:color w:val="auto"/>
                <w:lang w:val="en-US" w:eastAsia="zh-CN"/>
              </w:rPr>
              <w:t>6</w:t>
            </w:r>
            <w:r>
              <w:rPr>
                <w:rFonts w:hint="default"/>
                <w:color w:val="auto"/>
              </w:rPr>
              <w:t xml:space="preserve"> 主要噪声源源强一览表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8"/>
              <w:gridCol w:w="1710"/>
              <w:gridCol w:w="870"/>
              <w:gridCol w:w="1093"/>
              <w:gridCol w:w="1515"/>
              <w:gridCol w:w="960"/>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8" w:type="dxa"/>
                  <w:vAlign w:val="center"/>
                </w:tcPr>
                <w:p>
                  <w:pPr>
                    <w:pStyle w:val="39"/>
                    <w:bidi w:val="0"/>
                    <w:jc w:val="center"/>
                    <w:rPr>
                      <w:color w:val="auto"/>
                      <w:lang w:val="en-US" w:eastAsia="zh-CN"/>
                    </w:rPr>
                  </w:pPr>
                  <w:r>
                    <w:rPr>
                      <w:color w:val="auto"/>
                    </w:rPr>
                    <w:t>序号</w:t>
                  </w:r>
                </w:p>
              </w:tc>
              <w:tc>
                <w:tcPr>
                  <w:tcW w:w="1710" w:type="dxa"/>
                  <w:vAlign w:val="center"/>
                </w:tcPr>
                <w:p>
                  <w:pPr>
                    <w:pStyle w:val="39"/>
                    <w:bidi w:val="0"/>
                    <w:spacing w:line="240" w:lineRule="auto"/>
                    <w:jc w:val="center"/>
                    <w:rPr>
                      <w:color w:val="auto"/>
                    </w:rPr>
                  </w:pPr>
                  <w:r>
                    <w:rPr>
                      <w:rFonts w:hint="eastAsia"/>
                      <w:color w:val="auto"/>
                      <w:lang w:val="en-US" w:eastAsia="zh-CN"/>
                    </w:rPr>
                    <w:t>噪声源</w:t>
                  </w:r>
                </w:p>
              </w:tc>
              <w:tc>
                <w:tcPr>
                  <w:tcW w:w="870" w:type="dxa"/>
                  <w:vAlign w:val="center"/>
                </w:tcPr>
                <w:p>
                  <w:pPr>
                    <w:pStyle w:val="39"/>
                    <w:bidi w:val="0"/>
                    <w:jc w:val="center"/>
                    <w:rPr>
                      <w:color w:val="auto"/>
                    </w:rPr>
                  </w:pPr>
                  <w:r>
                    <w:rPr>
                      <w:color w:val="auto"/>
                    </w:rPr>
                    <w:t>数量</w:t>
                  </w:r>
                </w:p>
                <w:p>
                  <w:pPr>
                    <w:pStyle w:val="39"/>
                    <w:bidi w:val="0"/>
                    <w:jc w:val="center"/>
                    <w:rPr>
                      <w:color w:val="auto"/>
                    </w:rPr>
                  </w:pPr>
                  <w:r>
                    <w:rPr>
                      <w:rFonts w:hint="eastAsia"/>
                      <w:color w:val="auto"/>
                      <w:lang w:eastAsia="zh-CN"/>
                    </w:rPr>
                    <w:t>（台</w:t>
                  </w:r>
                  <w:r>
                    <w:rPr>
                      <w:rFonts w:hint="eastAsia"/>
                      <w:color w:val="auto"/>
                      <w:lang w:val="en-US" w:eastAsia="zh-CN"/>
                    </w:rPr>
                    <w:t>/套</w:t>
                  </w:r>
                  <w:r>
                    <w:rPr>
                      <w:rFonts w:hint="eastAsia"/>
                      <w:color w:val="auto"/>
                      <w:lang w:eastAsia="zh-CN"/>
                    </w:rPr>
                    <w:t>）</w:t>
                  </w:r>
                </w:p>
              </w:tc>
              <w:tc>
                <w:tcPr>
                  <w:tcW w:w="1093" w:type="dxa"/>
                  <w:vAlign w:val="center"/>
                </w:tcPr>
                <w:p>
                  <w:pPr>
                    <w:pStyle w:val="39"/>
                    <w:bidi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产生强度</w:t>
                  </w:r>
                </w:p>
                <w:p>
                  <w:pPr>
                    <w:pStyle w:val="39"/>
                    <w:bidi w:val="0"/>
                    <w:jc w:val="center"/>
                    <w:rPr>
                      <w:rFonts w:hint="eastAsia"/>
                      <w:color w:val="auto"/>
                      <w:lang w:eastAsia="zh-CN"/>
                    </w:rPr>
                  </w:pPr>
                  <w:r>
                    <w:rPr>
                      <w:rFonts w:hint="default" w:ascii="Times New Roman" w:hAnsi="Times New Roman" w:cs="Times New Roman"/>
                      <w:color w:val="auto"/>
                    </w:rPr>
                    <w:t>dB</w:t>
                  </w:r>
                </w:p>
              </w:tc>
              <w:tc>
                <w:tcPr>
                  <w:tcW w:w="1515" w:type="dxa"/>
                  <w:vAlign w:val="center"/>
                </w:tcPr>
                <w:p>
                  <w:pPr>
                    <w:pStyle w:val="39"/>
                    <w:bidi w:val="0"/>
                    <w:jc w:val="center"/>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防噪措施及降噪效果</w:t>
                  </w:r>
                </w:p>
              </w:tc>
              <w:tc>
                <w:tcPr>
                  <w:tcW w:w="960" w:type="dxa"/>
                  <w:vAlign w:val="center"/>
                </w:tcPr>
                <w:p>
                  <w:pPr>
                    <w:pStyle w:val="68"/>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cs="Times New Roman"/>
                      <w:color w:val="auto"/>
                      <w:lang w:eastAsia="zh-CN"/>
                    </w:rPr>
                    <w:t>排放</w:t>
                  </w:r>
                  <w:r>
                    <w:rPr>
                      <w:rFonts w:hint="default" w:ascii="Times New Roman" w:hAnsi="Times New Roman" w:cs="Times New Roman"/>
                      <w:color w:val="auto"/>
                      <w:lang w:eastAsia="zh-CN"/>
                    </w:rPr>
                    <w:t>强度</w:t>
                  </w:r>
                  <w:r>
                    <w:rPr>
                      <w:rFonts w:hint="default" w:ascii="Times New Roman" w:hAnsi="Times New Roman" w:cs="Times New Roman"/>
                      <w:color w:val="auto"/>
                    </w:rPr>
                    <w:t>dB</w:t>
                  </w:r>
                </w:p>
              </w:tc>
              <w:tc>
                <w:tcPr>
                  <w:tcW w:w="1218" w:type="dxa"/>
                  <w:vAlign w:val="center"/>
                </w:tcPr>
                <w:p>
                  <w:pPr>
                    <w:pStyle w:val="68"/>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持续</w:t>
                  </w:r>
                </w:p>
                <w:p>
                  <w:pPr>
                    <w:pStyle w:val="68"/>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lang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8" w:type="dxa"/>
                  <w:vAlign w:val="center"/>
                </w:tcPr>
                <w:p>
                  <w:pPr>
                    <w:pStyle w:val="39"/>
                    <w:bidi w:val="0"/>
                    <w:jc w:val="center"/>
                    <w:rPr>
                      <w:color w:val="auto"/>
                    </w:rPr>
                  </w:pPr>
                  <w:r>
                    <w:rPr>
                      <w:color w:val="auto"/>
                    </w:rPr>
                    <w:t>1</w:t>
                  </w:r>
                </w:p>
              </w:tc>
              <w:tc>
                <w:tcPr>
                  <w:tcW w:w="1710" w:type="dxa"/>
                  <w:vAlign w:val="center"/>
                </w:tcPr>
                <w:p>
                  <w:pPr>
                    <w:pStyle w:val="39"/>
                    <w:bidi w:val="0"/>
                    <w:spacing w:line="240" w:lineRule="auto"/>
                    <w:jc w:val="center"/>
                    <w:rPr>
                      <w:rFonts w:hint="default"/>
                      <w:color w:val="auto"/>
                      <w:lang w:val="en-US" w:eastAsia="zh-CN"/>
                    </w:rPr>
                  </w:pPr>
                  <w:r>
                    <w:rPr>
                      <w:rFonts w:hint="eastAsia"/>
                      <w:color w:val="auto"/>
                      <w:lang w:val="en-US" w:eastAsia="zh-CN"/>
                    </w:rPr>
                    <w:t>抛丸清理机</w:t>
                  </w:r>
                </w:p>
              </w:tc>
              <w:tc>
                <w:tcPr>
                  <w:tcW w:w="870" w:type="dxa"/>
                  <w:vAlign w:val="center"/>
                </w:tcPr>
                <w:p>
                  <w:pPr>
                    <w:pStyle w:val="39"/>
                    <w:bidi w:val="0"/>
                    <w:jc w:val="center"/>
                    <w:rPr>
                      <w:rFonts w:hint="default"/>
                      <w:color w:val="auto"/>
                      <w:lang w:val="en-US" w:eastAsia="zh-CN"/>
                    </w:rPr>
                  </w:pPr>
                  <w:r>
                    <w:rPr>
                      <w:rFonts w:hint="eastAsia"/>
                      <w:color w:val="auto"/>
                      <w:lang w:val="en-US" w:eastAsia="zh-CN"/>
                    </w:rPr>
                    <w:t>1</w:t>
                  </w:r>
                </w:p>
              </w:tc>
              <w:tc>
                <w:tcPr>
                  <w:tcW w:w="1093" w:type="dxa"/>
                  <w:vAlign w:val="center"/>
                </w:tcPr>
                <w:p>
                  <w:pPr>
                    <w:pStyle w:val="68"/>
                    <w:bidi w:val="0"/>
                    <w:jc w:val="center"/>
                    <w:rPr>
                      <w:rFonts w:hint="default"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85</w:t>
                  </w:r>
                </w:p>
              </w:tc>
              <w:tc>
                <w:tcPr>
                  <w:tcW w:w="1515" w:type="dxa"/>
                  <w:vMerge w:val="restart"/>
                  <w:vAlign w:val="center"/>
                </w:tcPr>
                <w:p>
                  <w:pPr>
                    <w:pStyle w:val="39"/>
                    <w:bidi w:val="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基础减震、</w:t>
                  </w:r>
                  <w:r>
                    <w:rPr>
                      <w:rFonts w:hint="eastAsia" w:cs="Times New Roman"/>
                      <w:color w:val="auto"/>
                      <w:lang w:val="en-US" w:eastAsia="zh-CN"/>
                    </w:rPr>
                    <w:t>厂房、围墙</w:t>
                  </w:r>
                  <w:r>
                    <w:rPr>
                      <w:rFonts w:hint="eastAsia" w:ascii="Times New Roman" w:hAnsi="Times New Roman" w:cs="Times New Roman"/>
                      <w:color w:val="auto"/>
                      <w:lang w:val="en-US" w:eastAsia="zh-CN"/>
                    </w:rPr>
                    <w:t>墙体隔声、距离衰减等。噪声削减大于</w:t>
                  </w:r>
                  <w:r>
                    <w:rPr>
                      <w:rFonts w:hint="eastAsia" w:cs="Times New Roman"/>
                      <w:color w:val="auto"/>
                      <w:lang w:val="en-US" w:eastAsia="zh-CN"/>
                    </w:rPr>
                    <w:t>20</w:t>
                  </w:r>
                  <w:r>
                    <w:rPr>
                      <w:rFonts w:hint="eastAsia" w:ascii="Times New Roman" w:hAnsi="Times New Roman" w:cs="Times New Roman"/>
                      <w:color w:val="auto"/>
                      <w:lang w:val="en-US" w:eastAsia="zh-CN"/>
                    </w:rPr>
                    <w:t>dB（A）</w:t>
                  </w:r>
                </w:p>
              </w:tc>
              <w:tc>
                <w:tcPr>
                  <w:tcW w:w="960" w:type="dxa"/>
                  <w:vAlign w:val="center"/>
                </w:tcPr>
                <w:p>
                  <w:pPr>
                    <w:pStyle w:val="68"/>
                    <w:bidi w:val="0"/>
                    <w:jc w:val="center"/>
                    <w:rPr>
                      <w:rFonts w:hint="default"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65</w:t>
                  </w:r>
                </w:p>
              </w:tc>
              <w:tc>
                <w:tcPr>
                  <w:tcW w:w="1218" w:type="dxa"/>
                  <w:vAlign w:val="center"/>
                </w:tcPr>
                <w:p>
                  <w:pPr>
                    <w:pStyle w:val="68"/>
                    <w:bidi w:val="0"/>
                    <w:jc w:val="center"/>
                    <w:rPr>
                      <w:rFonts w:hint="default"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8h（昼间）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8" w:type="dxa"/>
                  <w:vAlign w:val="center"/>
                </w:tcPr>
                <w:p>
                  <w:pPr>
                    <w:pStyle w:val="39"/>
                    <w:bidi w:val="0"/>
                    <w:jc w:val="center"/>
                    <w:rPr>
                      <w:color w:val="auto"/>
                    </w:rPr>
                  </w:pPr>
                  <w:r>
                    <w:rPr>
                      <w:color w:val="auto"/>
                    </w:rPr>
                    <w:t>2</w:t>
                  </w:r>
                </w:p>
              </w:tc>
              <w:tc>
                <w:tcPr>
                  <w:tcW w:w="1710" w:type="dxa"/>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2"/>
                      <w:sz w:val="21"/>
                      <w:szCs w:val="24"/>
                      <w:lang w:val="en-US" w:eastAsia="zh-CN" w:bidi="ar-SA"/>
                    </w:rPr>
                  </w:pPr>
                  <w:r>
                    <w:rPr>
                      <w:rFonts w:hint="eastAsia" w:ascii="宋体" w:hAnsi="宋体" w:eastAsia="宋体" w:cs="宋体"/>
                      <w:color w:val="auto"/>
                      <w:kern w:val="0"/>
                      <w:sz w:val="21"/>
                      <w:szCs w:val="21"/>
                      <w:lang w:val="en-US" w:eastAsia="zh-CN" w:bidi="ar"/>
                    </w:rPr>
                    <w:t>中频熔炼炉</w:t>
                  </w:r>
                </w:p>
              </w:tc>
              <w:tc>
                <w:tcPr>
                  <w:tcW w:w="870" w:type="dxa"/>
                  <w:vAlign w:val="center"/>
                </w:tcPr>
                <w:p>
                  <w:pPr>
                    <w:pStyle w:val="39"/>
                    <w:bidi w:val="0"/>
                    <w:jc w:val="center"/>
                    <w:rPr>
                      <w:rFonts w:hint="default"/>
                      <w:color w:val="auto"/>
                      <w:lang w:val="en-US" w:eastAsia="zh-CN"/>
                    </w:rPr>
                  </w:pPr>
                  <w:r>
                    <w:rPr>
                      <w:rFonts w:hint="eastAsia"/>
                      <w:color w:val="auto"/>
                      <w:lang w:val="en-US" w:eastAsia="zh-CN"/>
                    </w:rPr>
                    <w:t>1</w:t>
                  </w:r>
                </w:p>
              </w:tc>
              <w:tc>
                <w:tcPr>
                  <w:tcW w:w="1093" w:type="dxa"/>
                  <w:vAlign w:val="center"/>
                </w:tcPr>
                <w:p>
                  <w:pPr>
                    <w:pStyle w:val="68"/>
                    <w:bidi w:val="0"/>
                    <w:jc w:val="center"/>
                    <w:rPr>
                      <w:rFonts w:hint="default"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80</w:t>
                  </w:r>
                </w:p>
              </w:tc>
              <w:tc>
                <w:tcPr>
                  <w:tcW w:w="1515" w:type="dxa"/>
                  <w:vMerge w:val="continue"/>
                  <w:vAlign w:val="center"/>
                </w:tcPr>
                <w:p>
                  <w:pPr>
                    <w:pStyle w:val="39"/>
                    <w:bidi w:val="0"/>
                    <w:jc w:val="center"/>
                    <w:rPr>
                      <w:rFonts w:hint="eastAsia"/>
                      <w:color w:val="auto"/>
                      <w:lang w:eastAsia="zh-CN"/>
                    </w:rPr>
                  </w:pPr>
                </w:p>
              </w:tc>
              <w:tc>
                <w:tcPr>
                  <w:tcW w:w="960" w:type="dxa"/>
                  <w:vAlign w:val="center"/>
                </w:tcPr>
                <w:p>
                  <w:pPr>
                    <w:pStyle w:val="68"/>
                    <w:bidi w:val="0"/>
                    <w:jc w:val="center"/>
                    <w:rPr>
                      <w:rFonts w:hint="default"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60</w:t>
                  </w:r>
                </w:p>
              </w:tc>
              <w:tc>
                <w:tcPr>
                  <w:tcW w:w="1218" w:type="dxa"/>
                  <w:vAlign w:val="center"/>
                </w:tcPr>
                <w:p>
                  <w:pPr>
                    <w:pStyle w:val="68"/>
                    <w:bidi w:val="0"/>
                    <w:jc w:val="center"/>
                    <w:rPr>
                      <w:rFonts w:hint="eastAsia"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9h（夜间）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8" w:type="dxa"/>
                  <w:vAlign w:val="center"/>
                </w:tcPr>
                <w:p>
                  <w:pPr>
                    <w:pStyle w:val="39"/>
                    <w:bidi w:val="0"/>
                    <w:jc w:val="center"/>
                    <w:rPr>
                      <w:color w:val="auto"/>
                    </w:rPr>
                  </w:pPr>
                  <w:r>
                    <w:rPr>
                      <w:color w:val="auto"/>
                    </w:rPr>
                    <w:t>3</w:t>
                  </w:r>
                </w:p>
              </w:tc>
              <w:tc>
                <w:tcPr>
                  <w:tcW w:w="1710" w:type="dxa"/>
                  <w:vAlign w:val="center"/>
                </w:tcPr>
                <w:p>
                  <w:pPr>
                    <w:pStyle w:val="39"/>
                    <w:bidi w:val="0"/>
                    <w:spacing w:line="240" w:lineRule="auto"/>
                    <w:jc w:val="center"/>
                    <w:rPr>
                      <w:rFonts w:hint="eastAsia" w:ascii="Times New Roman" w:hAnsi="Times New Roman" w:eastAsia="宋体" w:cs="Times New Roman"/>
                      <w:color w:val="auto"/>
                      <w:kern w:val="0"/>
                      <w:sz w:val="21"/>
                      <w:szCs w:val="22"/>
                      <w:lang w:val="en-US" w:eastAsia="zh-CN" w:bidi="ar-SA"/>
                    </w:rPr>
                  </w:pPr>
                  <w:r>
                    <w:rPr>
                      <w:rFonts w:hint="eastAsia"/>
                      <w:color w:val="auto"/>
                      <w:lang w:val="en-US" w:eastAsia="zh-CN"/>
                    </w:rPr>
                    <w:t>冷芯盒射砂机</w:t>
                  </w:r>
                </w:p>
              </w:tc>
              <w:tc>
                <w:tcPr>
                  <w:tcW w:w="870" w:type="dxa"/>
                  <w:vAlign w:val="center"/>
                </w:tcPr>
                <w:p>
                  <w:pPr>
                    <w:pStyle w:val="39"/>
                    <w:bidi w:val="0"/>
                    <w:jc w:val="center"/>
                    <w:rPr>
                      <w:rFonts w:hint="default"/>
                      <w:color w:val="auto"/>
                      <w:lang w:val="en-US" w:eastAsia="zh-CN"/>
                    </w:rPr>
                  </w:pPr>
                  <w:r>
                    <w:rPr>
                      <w:rFonts w:hint="eastAsia"/>
                      <w:color w:val="auto"/>
                      <w:lang w:val="en-US" w:eastAsia="zh-CN"/>
                    </w:rPr>
                    <w:t>1</w:t>
                  </w:r>
                </w:p>
              </w:tc>
              <w:tc>
                <w:tcPr>
                  <w:tcW w:w="1093" w:type="dxa"/>
                  <w:vAlign w:val="center"/>
                </w:tcPr>
                <w:p>
                  <w:pPr>
                    <w:pStyle w:val="68"/>
                    <w:bidi w:val="0"/>
                    <w:jc w:val="center"/>
                    <w:rPr>
                      <w:rFonts w:hint="default"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80</w:t>
                  </w:r>
                </w:p>
              </w:tc>
              <w:tc>
                <w:tcPr>
                  <w:tcW w:w="1515" w:type="dxa"/>
                  <w:vMerge w:val="continue"/>
                  <w:vAlign w:val="center"/>
                </w:tcPr>
                <w:p>
                  <w:pPr>
                    <w:pStyle w:val="39"/>
                    <w:bidi w:val="0"/>
                    <w:jc w:val="center"/>
                    <w:rPr>
                      <w:rFonts w:hint="eastAsia"/>
                      <w:color w:val="auto"/>
                      <w:lang w:eastAsia="zh-CN"/>
                    </w:rPr>
                  </w:pPr>
                </w:p>
              </w:tc>
              <w:tc>
                <w:tcPr>
                  <w:tcW w:w="960" w:type="dxa"/>
                  <w:vAlign w:val="center"/>
                </w:tcPr>
                <w:p>
                  <w:pPr>
                    <w:pStyle w:val="68"/>
                    <w:bidi w:val="0"/>
                    <w:jc w:val="center"/>
                    <w:rPr>
                      <w:rFonts w:hint="default"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60</w:t>
                  </w:r>
                </w:p>
              </w:tc>
              <w:tc>
                <w:tcPr>
                  <w:tcW w:w="1218" w:type="dxa"/>
                  <w:vAlign w:val="center"/>
                </w:tcPr>
                <w:p>
                  <w:pPr>
                    <w:pStyle w:val="68"/>
                    <w:bidi w:val="0"/>
                    <w:jc w:val="center"/>
                    <w:rPr>
                      <w:rFonts w:hint="eastAsia"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4h（昼间）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8" w:type="dxa"/>
                  <w:vAlign w:val="center"/>
                </w:tcPr>
                <w:p>
                  <w:pPr>
                    <w:pStyle w:val="39"/>
                    <w:bidi w:val="0"/>
                    <w:jc w:val="center"/>
                    <w:rPr>
                      <w:color w:val="auto"/>
                    </w:rPr>
                  </w:pPr>
                  <w:r>
                    <w:rPr>
                      <w:color w:val="auto"/>
                    </w:rPr>
                    <w:t>4</w:t>
                  </w:r>
                </w:p>
              </w:tc>
              <w:tc>
                <w:tcPr>
                  <w:tcW w:w="1710" w:type="dxa"/>
                  <w:vAlign w:val="center"/>
                </w:tcPr>
                <w:p>
                  <w:pPr>
                    <w:pStyle w:val="39"/>
                    <w:bidi w:val="0"/>
                    <w:spacing w:line="240" w:lineRule="auto"/>
                    <w:jc w:val="center"/>
                    <w:rPr>
                      <w:rFonts w:hint="eastAsia" w:ascii="Times New Roman" w:hAnsi="Times New Roman" w:eastAsia="宋体" w:cs="Times New Roman"/>
                      <w:color w:val="auto"/>
                      <w:kern w:val="0"/>
                      <w:sz w:val="21"/>
                      <w:szCs w:val="22"/>
                      <w:lang w:val="en-US" w:eastAsia="zh-CN" w:bidi="ar-SA"/>
                    </w:rPr>
                  </w:pPr>
                  <w:r>
                    <w:rPr>
                      <w:rFonts w:hint="eastAsia"/>
                      <w:color w:val="auto"/>
                      <w:lang w:val="en-US" w:eastAsia="zh-CN"/>
                    </w:rPr>
                    <w:t>混砂机</w:t>
                  </w:r>
                </w:p>
              </w:tc>
              <w:tc>
                <w:tcPr>
                  <w:tcW w:w="870" w:type="dxa"/>
                  <w:vAlign w:val="center"/>
                </w:tcPr>
                <w:p>
                  <w:pPr>
                    <w:pStyle w:val="39"/>
                    <w:bidi w:val="0"/>
                    <w:jc w:val="center"/>
                    <w:rPr>
                      <w:rFonts w:hint="default"/>
                      <w:color w:val="auto"/>
                      <w:lang w:val="en-US" w:eastAsia="zh-CN"/>
                    </w:rPr>
                  </w:pPr>
                  <w:r>
                    <w:rPr>
                      <w:rFonts w:hint="eastAsia"/>
                      <w:color w:val="auto"/>
                      <w:lang w:val="en-US" w:eastAsia="zh-CN"/>
                    </w:rPr>
                    <w:t>1</w:t>
                  </w:r>
                </w:p>
              </w:tc>
              <w:tc>
                <w:tcPr>
                  <w:tcW w:w="1093" w:type="dxa"/>
                  <w:vAlign w:val="center"/>
                </w:tcPr>
                <w:p>
                  <w:pPr>
                    <w:pStyle w:val="68"/>
                    <w:bidi w:val="0"/>
                    <w:jc w:val="center"/>
                    <w:rPr>
                      <w:rFonts w:hint="default" w:ascii="Times New Roman" w:hAnsi="Times New Roman" w:eastAsia="宋体" w:cs="Times New Roman"/>
                      <w:color w:val="auto"/>
                      <w:kern w:val="2"/>
                      <w:sz w:val="21"/>
                      <w:szCs w:val="22"/>
                      <w:lang w:val="en-US" w:eastAsia="zh-CN" w:bidi="ar-SA"/>
                    </w:rPr>
                  </w:pPr>
                  <w:r>
                    <w:rPr>
                      <w:rFonts w:hint="eastAsia"/>
                      <w:color w:val="auto"/>
                      <w:lang w:val="en-US" w:eastAsia="zh-CN"/>
                    </w:rPr>
                    <w:t>90</w:t>
                  </w:r>
                </w:p>
              </w:tc>
              <w:tc>
                <w:tcPr>
                  <w:tcW w:w="1515" w:type="dxa"/>
                  <w:vMerge w:val="continue"/>
                  <w:vAlign w:val="center"/>
                </w:tcPr>
                <w:p>
                  <w:pPr>
                    <w:pStyle w:val="39"/>
                    <w:bidi w:val="0"/>
                    <w:jc w:val="center"/>
                    <w:rPr>
                      <w:rFonts w:hint="eastAsia"/>
                      <w:color w:val="auto"/>
                      <w:lang w:eastAsia="zh-CN"/>
                    </w:rPr>
                  </w:pPr>
                </w:p>
              </w:tc>
              <w:tc>
                <w:tcPr>
                  <w:tcW w:w="960" w:type="dxa"/>
                  <w:vAlign w:val="center"/>
                </w:tcPr>
                <w:p>
                  <w:pPr>
                    <w:bidi w:val="0"/>
                    <w:jc w:val="center"/>
                    <w:rPr>
                      <w:rFonts w:hint="default"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70</w:t>
                  </w:r>
                </w:p>
              </w:tc>
              <w:tc>
                <w:tcPr>
                  <w:tcW w:w="1218" w:type="dxa"/>
                  <w:vAlign w:val="center"/>
                </w:tcPr>
                <w:p>
                  <w:pPr>
                    <w:bidi w:val="0"/>
                    <w:jc w:val="center"/>
                    <w:rPr>
                      <w:rFonts w:hint="eastAsia"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4h（昼间）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8" w:type="dxa"/>
                  <w:vAlign w:val="center"/>
                </w:tcPr>
                <w:p>
                  <w:pPr>
                    <w:pStyle w:val="39"/>
                    <w:bidi w:val="0"/>
                    <w:jc w:val="center"/>
                    <w:rPr>
                      <w:rFonts w:hint="eastAsia" w:eastAsia="宋体"/>
                      <w:color w:val="auto"/>
                      <w:lang w:val="en-US" w:eastAsia="zh-CN"/>
                    </w:rPr>
                  </w:pPr>
                  <w:r>
                    <w:rPr>
                      <w:rFonts w:hint="eastAsia"/>
                      <w:color w:val="auto"/>
                      <w:lang w:val="en-US" w:eastAsia="zh-CN"/>
                    </w:rPr>
                    <w:t>5</w:t>
                  </w:r>
                </w:p>
              </w:tc>
              <w:tc>
                <w:tcPr>
                  <w:tcW w:w="1710" w:type="dxa"/>
                  <w:vAlign w:val="center"/>
                </w:tcPr>
                <w:p>
                  <w:pPr>
                    <w:pStyle w:val="39"/>
                    <w:bidi w:val="0"/>
                    <w:spacing w:line="240" w:lineRule="auto"/>
                    <w:jc w:val="center"/>
                    <w:rPr>
                      <w:rFonts w:hint="default"/>
                      <w:color w:val="auto"/>
                      <w:lang w:val="en-US" w:eastAsia="zh-CN"/>
                    </w:rPr>
                  </w:pPr>
                  <w:r>
                    <w:rPr>
                      <w:rFonts w:hint="eastAsia"/>
                      <w:color w:val="auto"/>
                      <w:lang w:val="en-US" w:eastAsia="zh-CN"/>
                    </w:rPr>
                    <w:t>风机</w:t>
                  </w:r>
                </w:p>
              </w:tc>
              <w:tc>
                <w:tcPr>
                  <w:tcW w:w="870" w:type="dxa"/>
                  <w:vAlign w:val="center"/>
                </w:tcPr>
                <w:p>
                  <w:pPr>
                    <w:pStyle w:val="39"/>
                    <w:bidi w:val="0"/>
                    <w:jc w:val="center"/>
                    <w:rPr>
                      <w:rFonts w:hint="default"/>
                      <w:color w:val="auto"/>
                      <w:lang w:val="en-US" w:eastAsia="zh-CN"/>
                    </w:rPr>
                  </w:pPr>
                  <w:r>
                    <w:rPr>
                      <w:rFonts w:hint="eastAsia"/>
                      <w:color w:val="auto"/>
                      <w:lang w:val="en-US" w:eastAsia="zh-CN"/>
                    </w:rPr>
                    <w:t>3</w:t>
                  </w:r>
                </w:p>
              </w:tc>
              <w:tc>
                <w:tcPr>
                  <w:tcW w:w="1093" w:type="dxa"/>
                  <w:vAlign w:val="center"/>
                </w:tcPr>
                <w:p>
                  <w:pPr>
                    <w:pStyle w:val="68"/>
                    <w:bidi w:val="0"/>
                    <w:jc w:val="center"/>
                    <w:rPr>
                      <w:rFonts w:hint="default"/>
                      <w:color w:val="auto"/>
                      <w:lang w:val="en-US" w:eastAsia="zh-CN"/>
                    </w:rPr>
                  </w:pPr>
                  <w:r>
                    <w:rPr>
                      <w:rFonts w:hint="eastAsia"/>
                      <w:color w:val="auto"/>
                      <w:lang w:val="en-US" w:eastAsia="zh-CN"/>
                    </w:rPr>
                    <w:t>90</w:t>
                  </w:r>
                </w:p>
              </w:tc>
              <w:tc>
                <w:tcPr>
                  <w:tcW w:w="1515" w:type="dxa"/>
                  <w:vMerge w:val="continue"/>
                  <w:vAlign w:val="center"/>
                </w:tcPr>
                <w:p>
                  <w:pPr>
                    <w:pStyle w:val="39"/>
                    <w:bidi w:val="0"/>
                    <w:jc w:val="center"/>
                    <w:rPr>
                      <w:rFonts w:hint="eastAsia"/>
                      <w:color w:val="auto"/>
                      <w:lang w:eastAsia="zh-CN"/>
                    </w:rPr>
                  </w:pPr>
                </w:p>
              </w:tc>
              <w:tc>
                <w:tcPr>
                  <w:tcW w:w="960" w:type="dxa"/>
                  <w:vAlign w:val="center"/>
                </w:tcPr>
                <w:p>
                  <w:pPr>
                    <w:pStyle w:val="68"/>
                    <w:bidi w:val="0"/>
                    <w:jc w:val="center"/>
                    <w:rPr>
                      <w:rFonts w:hint="default"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70</w:t>
                  </w:r>
                </w:p>
              </w:tc>
              <w:tc>
                <w:tcPr>
                  <w:tcW w:w="1218" w:type="dxa"/>
                  <w:vAlign w:val="center"/>
                </w:tcPr>
                <w:p>
                  <w:pPr>
                    <w:pStyle w:val="68"/>
                    <w:bidi w:val="0"/>
                    <w:jc w:val="center"/>
                    <w:rPr>
                      <w:rFonts w:hint="default" w:cs="Times New Roman"/>
                      <w:color w:val="auto"/>
                      <w:kern w:val="2"/>
                      <w:sz w:val="21"/>
                      <w:szCs w:val="22"/>
                      <w:lang w:val="en-US" w:eastAsia="zh-CN" w:bidi="ar-SA"/>
                    </w:rPr>
                  </w:pPr>
                  <w:r>
                    <w:rPr>
                      <w:rFonts w:hint="eastAsia" w:cs="Times New Roman"/>
                      <w:color w:val="auto"/>
                      <w:kern w:val="2"/>
                      <w:sz w:val="21"/>
                      <w:szCs w:val="22"/>
                      <w:lang w:val="en-US" w:eastAsia="zh-CN" w:bidi="ar-SA"/>
                    </w:rPr>
                    <w:t>9h</w:t>
                  </w:r>
                </w:p>
              </w:tc>
            </w:tr>
          </w:tbl>
          <w:p>
            <w:pPr>
              <w:pStyle w:val="82"/>
              <w:bidi w:val="0"/>
              <w:rPr>
                <w:rFonts w:hint="default"/>
                <w:b/>
                <w:bCs/>
              </w:rPr>
            </w:pPr>
            <w:r>
              <w:rPr>
                <w:rFonts w:hint="default"/>
                <w:b/>
                <w:bCs/>
              </w:rPr>
              <w:t>3.1噪声防治措施</w:t>
            </w:r>
          </w:p>
          <w:p>
            <w:pPr>
              <w:pStyle w:val="82"/>
              <w:bidi w:val="0"/>
              <w:jc w:val="both"/>
              <w:rPr>
                <w:rFonts w:hint="eastAsia" w:ascii="Times New Roman" w:hAnsi="Times New Roman" w:eastAsia="宋体" w:cs="Times New Roman"/>
                <w:color w:val="auto"/>
                <w:lang w:eastAsia="zh-CN"/>
              </w:rPr>
            </w:pPr>
            <w:r>
              <w:rPr>
                <w:rFonts w:hint="default" w:ascii="Times New Roman" w:hAnsi="Times New Roman" w:cs="Times New Roman"/>
                <w:color w:val="auto"/>
              </w:rPr>
              <w:t>为了</w:t>
            </w:r>
            <w:r>
              <w:rPr>
                <w:rFonts w:hint="eastAsia" w:cs="Times New Roman"/>
                <w:color w:val="auto"/>
                <w:lang w:val="en-US" w:eastAsia="zh-CN"/>
              </w:rPr>
              <w:t>减少</w:t>
            </w:r>
            <w:r>
              <w:rPr>
                <w:rFonts w:hint="default" w:ascii="Times New Roman" w:hAnsi="Times New Roman" w:cs="Times New Roman"/>
                <w:color w:val="auto"/>
              </w:rPr>
              <w:t>营运期的噪声影响，</w:t>
            </w:r>
            <w:r>
              <w:rPr>
                <w:rFonts w:hint="default" w:ascii="Times New Roman" w:hAnsi="Times New Roman" w:cs="Times New Roman"/>
                <w:color w:val="auto"/>
                <w:lang w:eastAsia="zh-CN"/>
              </w:rPr>
              <w:t>本次评价提出下列</w:t>
            </w:r>
            <w:r>
              <w:rPr>
                <w:rFonts w:hint="default" w:ascii="Times New Roman" w:hAnsi="Times New Roman" w:cs="Times New Roman"/>
                <w:color w:val="auto"/>
              </w:rPr>
              <w:t>噪声防治措施</w:t>
            </w:r>
            <w:r>
              <w:rPr>
                <w:rFonts w:hint="eastAsia" w:ascii="Times New Roman" w:hAnsi="Times New Roman" w:cs="Times New Roman"/>
                <w:color w:val="auto"/>
                <w:lang w:eastAsia="zh-CN"/>
              </w:rPr>
              <w:t>：</w:t>
            </w:r>
          </w:p>
          <w:p>
            <w:pPr>
              <w:pStyle w:val="82"/>
              <w:bidi w:val="0"/>
              <w:jc w:val="both"/>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各产噪设备加装减震基础，风机加装隔声罩和减震片。</w:t>
            </w:r>
          </w:p>
          <w:p>
            <w:pPr>
              <w:pStyle w:val="82"/>
              <w:bidi w:val="0"/>
              <w:jc w:val="both"/>
              <w:rPr>
                <w:rFonts w:hint="default" w:ascii="Times New Roman" w:hAnsi="Times New Roman" w:cs="Times New Roman"/>
                <w:color w:val="auto"/>
                <w:lang w:eastAsia="zh-CN"/>
              </w:rPr>
            </w:pPr>
            <w:r>
              <w:rPr>
                <w:rFonts w:hint="default" w:ascii="Times New Roman" w:hAnsi="Times New Roman" w:cs="Times New Roman"/>
                <w:color w:val="auto"/>
              </w:rPr>
              <w:t>（</w:t>
            </w:r>
            <w:r>
              <w:rPr>
                <w:rFonts w:hint="eastAsia"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eastAsia="zh-CN"/>
              </w:rPr>
              <w:t>定期对各生产设备、风机进行维护保养，防止应设备因为不正常运行而产生的异常噪声。</w:t>
            </w:r>
          </w:p>
          <w:p>
            <w:pPr>
              <w:pStyle w:val="72"/>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本项目</w:t>
            </w:r>
            <w:r>
              <w:rPr>
                <w:rFonts w:hint="eastAsia" w:cs="Times New Roman"/>
                <w:color w:val="auto"/>
                <w:lang w:val="en-US" w:eastAsia="zh-CN"/>
              </w:rPr>
              <w:t>设备数量小，昼间主要进行砂处理、制芯、抛瓦清理，夜间主要进行融化、浇注工序，夜间产噪较小。本项目周边最近的敏感点约115m，本项目在</w:t>
            </w:r>
            <w:r>
              <w:rPr>
                <w:rFonts w:hint="eastAsia" w:ascii="Times New Roman" w:hAnsi="Times New Roman" w:cs="Times New Roman"/>
                <w:color w:val="auto"/>
                <w:lang w:val="en-US" w:eastAsia="zh-CN"/>
              </w:rPr>
              <w:t>运营期间在落实本次评价提出的降噪</w:t>
            </w:r>
            <w:r>
              <w:rPr>
                <w:rFonts w:hint="default" w:ascii="Times New Roman" w:hAnsi="Times New Roman" w:cs="Times New Roman"/>
                <w:color w:val="auto"/>
                <w:lang w:val="en-US" w:eastAsia="zh-CN"/>
              </w:rPr>
              <w:t>措施</w:t>
            </w:r>
            <w:r>
              <w:rPr>
                <w:rFonts w:hint="eastAsia" w:ascii="Times New Roman" w:hAnsi="Times New Roman" w:cs="Times New Roman"/>
                <w:color w:val="auto"/>
                <w:lang w:val="en-US" w:eastAsia="zh-CN"/>
              </w:rPr>
              <w:t>后，厂界</w:t>
            </w:r>
            <w:r>
              <w:rPr>
                <w:rFonts w:hint="eastAsia" w:cs="Times New Roman"/>
                <w:color w:val="auto"/>
                <w:lang w:val="en-US" w:eastAsia="zh-CN"/>
              </w:rPr>
              <w:t>贡献值</w:t>
            </w:r>
            <w:r>
              <w:rPr>
                <w:rFonts w:hint="eastAsia" w:ascii="Times New Roman" w:hAnsi="Times New Roman" w:cs="Times New Roman"/>
                <w:color w:val="auto"/>
                <w:lang w:val="en-US" w:eastAsia="zh-CN"/>
              </w:rPr>
              <w:t>满足</w:t>
            </w:r>
            <w:r>
              <w:rPr>
                <w:rFonts w:hint="default" w:ascii="Times New Roman" w:hAnsi="Times New Roman" w:cs="Times New Roman"/>
                <w:color w:val="auto"/>
                <w:lang w:val="en-US" w:eastAsia="zh-CN"/>
              </w:rPr>
              <w:t>《工业企业厂界环境噪声排放标准》（GB12348-2008）</w:t>
            </w:r>
            <w:r>
              <w:rPr>
                <w:rFonts w:hint="eastAsia" w:ascii="Times New Roman" w:hAnsi="Times New Roman" w:cs="Times New Roman"/>
                <w:color w:val="auto"/>
                <w:lang w:val="en-US" w:eastAsia="zh-CN"/>
              </w:rPr>
              <w:t>中</w:t>
            </w:r>
            <w:r>
              <w:rPr>
                <w:rFonts w:hint="eastAsia" w:cs="Times New Roman"/>
                <w:color w:val="auto"/>
                <w:lang w:val="en-US" w:eastAsia="zh-CN"/>
              </w:rPr>
              <w:t>2</w:t>
            </w:r>
            <w:r>
              <w:rPr>
                <w:rFonts w:hint="default" w:ascii="Times New Roman" w:hAnsi="Times New Roman" w:cs="Times New Roman"/>
                <w:color w:val="auto"/>
                <w:lang w:val="en-US" w:eastAsia="zh-CN"/>
              </w:rPr>
              <w:t>类标准</w:t>
            </w:r>
            <w:r>
              <w:rPr>
                <w:rFonts w:hint="eastAsia" w:ascii="Times New Roman" w:hAnsi="Times New Roman" w:cs="Times New Roman"/>
                <w:color w:val="auto"/>
                <w:lang w:val="en-US" w:eastAsia="zh-CN"/>
              </w:rPr>
              <w:t>要求。</w:t>
            </w:r>
          </w:p>
          <w:p>
            <w:pPr>
              <w:pStyle w:val="72"/>
              <w:bidi w:val="0"/>
              <w:rPr>
                <w:rFonts w:hint="eastAsia"/>
                <w:b/>
                <w:bCs/>
                <w:color w:val="auto"/>
              </w:rPr>
            </w:pPr>
            <w:r>
              <w:rPr>
                <w:rFonts w:hint="eastAsia"/>
                <w:b/>
                <w:bCs/>
                <w:color w:val="auto"/>
                <w:lang w:val="en-US" w:eastAsia="zh-CN"/>
              </w:rPr>
              <w:t>3.3</w:t>
            </w:r>
            <w:r>
              <w:rPr>
                <w:rFonts w:hint="eastAsia"/>
                <w:b/>
                <w:bCs/>
                <w:color w:val="auto"/>
              </w:rPr>
              <w:t>噪声监测计划</w:t>
            </w:r>
          </w:p>
          <w:p>
            <w:pPr>
              <w:pStyle w:val="72"/>
              <w:bidi w:val="0"/>
              <w:rPr>
                <w:rFonts w:hint="eastAsia"/>
                <w:color w:val="auto"/>
                <w:lang w:eastAsia="zh-CN"/>
              </w:rPr>
            </w:pPr>
            <w:r>
              <w:rPr>
                <w:rFonts w:hint="eastAsia"/>
                <w:color w:val="auto"/>
                <w:lang w:eastAsia="zh-CN"/>
              </w:rPr>
              <w:t>根据《</w:t>
            </w:r>
            <w:r>
              <w:rPr>
                <w:rFonts w:hint="eastAsia" w:ascii="Times New Roman" w:hAnsi="Times New Roman" w:eastAsia="宋体" w:cs="Times New Roman"/>
                <w:color w:val="auto"/>
                <w:kern w:val="2"/>
                <w:sz w:val="24"/>
                <w:szCs w:val="22"/>
                <w:lang w:val="en-US" w:eastAsia="zh-CN" w:bidi="ar-SA"/>
              </w:rPr>
              <w:t>排污单位自行监测技术指南 总则</w:t>
            </w:r>
            <w:r>
              <w:rPr>
                <w:rFonts w:hint="eastAsia"/>
                <w:color w:val="auto"/>
                <w:lang w:eastAsia="zh-CN"/>
              </w:rPr>
              <w:t>》</w:t>
            </w:r>
            <w:r>
              <w:rPr>
                <w:rFonts w:hint="eastAsia" w:ascii="Times New Roman" w:hAnsi="Times New Roman" w:eastAsia="宋体" w:cs="Times New Roman"/>
                <w:color w:val="auto"/>
                <w:kern w:val="2"/>
                <w:sz w:val="24"/>
                <w:szCs w:val="22"/>
                <w:lang w:val="en-US" w:eastAsia="zh-CN" w:bidi="ar-SA"/>
              </w:rPr>
              <w:t>（HJ</w:t>
            </w:r>
            <w:r>
              <w:rPr>
                <w:rFonts w:hint="eastAsia" w:cs="Times New Roman"/>
                <w:color w:val="auto"/>
                <w:kern w:val="2"/>
                <w:sz w:val="24"/>
                <w:szCs w:val="22"/>
                <w:lang w:val="en-US" w:eastAsia="zh-CN" w:bidi="ar-SA"/>
              </w:rPr>
              <w:t>819-</w:t>
            </w:r>
            <w:r>
              <w:rPr>
                <w:rFonts w:hint="eastAsia" w:ascii="Times New Roman" w:hAnsi="Times New Roman" w:eastAsia="宋体" w:cs="Times New Roman"/>
                <w:color w:val="auto"/>
                <w:kern w:val="2"/>
                <w:sz w:val="24"/>
                <w:szCs w:val="22"/>
                <w:lang w:val="en-US" w:eastAsia="zh-CN" w:bidi="ar-SA"/>
              </w:rPr>
              <w:t>20</w:t>
            </w:r>
            <w:r>
              <w:rPr>
                <w:rFonts w:hint="eastAsia" w:cs="Times New Roman"/>
                <w:color w:val="auto"/>
                <w:kern w:val="2"/>
                <w:sz w:val="24"/>
                <w:szCs w:val="22"/>
                <w:lang w:val="en-US" w:eastAsia="zh-CN" w:bidi="ar-SA"/>
              </w:rPr>
              <w:t>17</w:t>
            </w:r>
            <w:r>
              <w:rPr>
                <w:rFonts w:hint="eastAsia" w:ascii="Times New Roman" w:hAnsi="Times New Roman" w:eastAsia="宋体" w:cs="Times New Roman"/>
                <w:color w:val="auto"/>
                <w:kern w:val="2"/>
                <w:sz w:val="24"/>
                <w:szCs w:val="22"/>
                <w:lang w:val="en-US" w:eastAsia="zh-CN" w:bidi="ar-SA"/>
              </w:rPr>
              <w:t>）</w:t>
            </w:r>
            <w:r>
              <w:rPr>
                <w:rFonts w:hint="eastAsia"/>
                <w:color w:val="auto"/>
                <w:lang w:eastAsia="zh-CN"/>
              </w:rPr>
              <w:t>中相关规定，本项目噪声监测计划详见下表。</w:t>
            </w:r>
          </w:p>
          <w:p>
            <w:pPr>
              <w:pStyle w:val="70"/>
              <w:bidi w:val="0"/>
              <w:rPr>
                <w:rFonts w:hint="eastAsia"/>
                <w:color w:val="auto"/>
              </w:rPr>
            </w:pPr>
            <w:r>
              <w:rPr>
                <w:rFonts w:hint="eastAsia"/>
                <w:color w:val="auto"/>
              </w:rPr>
              <w:t>表</w:t>
            </w:r>
            <w:r>
              <w:rPr>
                <w:rFonts w:hint="eastAsia"/>
                <w:color w:val="auto"/>
                <w:lang w:val="en-US" w:eastAsia="zh-CN"/>
              </w:rPr>
              <w:t>4-7</w:t>
            </w:r>
            <w:r>
              <w:rPr>
                <w:rFonts w:hint="eastAsia"/>
                <w:color w:val="auto"/>
              </w:rPr>
              <w:t xml:space="preserve"> 噪声监测点位、监测指标及最低监测频次</w:t>
            </w:r>
          </w:p>
          <w:tbl>
            <w:tblPr>
              <w:tblStyle w:val="95"/>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1827"/>
              <w:gridCol w:w="1500"/>
              <w:gridCol w:w="34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88" w:type="dxa"/>
                  <w:noWrap w:val="0"/>
                  <w:vAlign w:val="center"/>
                </w:tcPr>
                <w:p>
                  <w:pPr>
                    <w:pStyle w:val="39"/>
                    <w:bidi w:val="0"/>
                    <w:jc w:val="center"/>
                    <w:rPr>
                      <w:b w:val="0"/>
                      <w:bCs w:val="0"/>
                      <w:color w:val="auto"/>
                    </w:rPr>
                  </w:pPr>
                  <w:r>
                    <w:rPr>
                      <w:b w:val="0"/>
                      <w:bCs w:val="0"/>
                      <w:color w:val="auto"/>
                    </w:rPr>
                    <w:t>监测点位</w:t>
                  </w:r>
                </w:p>
              </w:tc>
              <w:tc>
                <w:tcPr>
                  <w:tcW w:w="1854" w:type="dxa"/>
                  <w:noWrap w:val="0"/>
                  <w:vAlign w:val="center"/>
                </w:tcPr>
                <w:p>
                  <w:pPr>
                    <w:pStyle w:val="39"/>
                    <w:bidi w:val="0"/>
                    <w:jc w:val="center"/>
                    <w:rPr>
                      <w:b w:val="0"/>
                      <w:bCs w:val="0"/>
                      <w:color w:val="auto"/>
                    </w:rPr>
                  </w:pPr>
                  <w:r>
                    <w:rPr>
                      <w:b w:val="0"/>
                      <w:bCs w:val="0"/>
                      <w:color w:val="auto"/>
                    </w:rPr>
                    <w:t>监测指标</w:t>
                  </w:r>
                </w:p>
              </w:tc>
              <w:tc>
                <w:tcPr>
                  <w:tcW w:w="1522" w:type="dxa"/>
                  <w:noWrap w:val="0"/>
                  <w:vAlign w:val="center"/>
                </w:tcPr>
                <w:p>
                  <w:pPr>
                    <w:pStyle w:val="39"/>
                    <w:bidi w:val="0"/>
                    <w:jc w:val="center"/>
                    <w:rPr>
                      <w:b w:val="0"/>
                      <w:bCs w:val="0"/>
                      <w:color w:val="auto"/>
                    </w:rPr>
                  </w:pPr>
                  <w:r>
                    <w:rPr>
                      <w:b w:val="0"/>
                      <w:bCs w:val="0"/>
                      <w:color w:val="auto"/>
                    </w:rPr>
                    <w:t>监测频次</w:t>
                  </w:r>
                </w:p>
              </w:tc>
              <w:tc>
                <w:tcPr>
                  <w:tcW w:w="3493" w:type="dxa"/>
                  <w:noWrap w:val="0"/>
                  <w:vAlign w:val="center"/>
                </w:tcPr>
                <w:p>
                  <w:pPr>
                    <w:pStyle w:val="39"/>
                    <w:bidi w:val="0"/>
                    <w:jc w:val="center"/>
                    <w:rPr>
                      <w:rFonts w:ascii="Times New Roman" w:hAnsi="Times New Roman" w:eastAsia="宋体" w:cs="Times New Roman"/>
                      <w:b w:val="0"/>
                      <w:bCs w:val="0"/>
                      <w:color w:val="auto"/>
                      <w:kern w:val="0"/>
                      <w:sz w:val="21"/>
                      <w:szCs w:val="22"/>
                      <w:lang w:val="en-US" w:eastAsia="zh-CN" w:bidi="ar-SA"/>
                    </w:rPr>
                  </w:pPr>
                  <w:r>
                    <w:rPr>
                      <w:b w:val="0"/>
                      <w:bCs w:val="0"/>
                      <w:color w:val="auto"/>
                    </w:rPr>
                    <w:t>执行排放标准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jc w:val="center"/>
              </w:trPr>
              <w:tc>
                <w:tcPr>
                  <w:tcW w:w="1188" w:type="dxa"/>
                  <w:noWrap w:val="0"/>
                  <w:vAlign w:val="center"/>
                </w:tcPr>
                <w:p>
                  <w:pPr>
                    <w:pStyle w:val="39"/>
                    <w:bidi w:val="0"/>
                    <w:jc w:val="center"/>
                    <w:rPr>
                      <w:rFonts w:hint="eastAsia" w:eastAsia="宋体"/>
                      <w:b w:val="0"/>
                      <w:bCs w:val="0"/>
                      <w:color w:val="auto"/>
                      <w:lang w:eastAsia="zh-CN"/>
                    </w:rPr>
                  </w:pPr>
                  <w:r>
                    <w:rPr>
                      <w:rFonts w:hint="eastAsia"/>
                      <w:b w:val="0"/>
                      <w:bCs w:val="0"/>
                      <w:color w:val="auto"/>
                      <w:lang w:eastAsia="zh-CN"/>
                    </w:rPr>
                    <w:t>厂界</w:t>
                  </w:r>
                </w:p>
              </w:tc>
              <w:tc>
                <w:tcPr>
                  <w:tcW w:w="1854" w:type="dxa"/>
                  <w:noWrap w:val="0"/>
                  <w:vAlign w:val="center"/>
                </w:tcPr>
                <w:p>
                  <w:pPr>
                    <w:pStyle w:val="39"/>
                    <w:bidi w:val="0"/>
                    <w:jc w:val="center"/>
                    <w:rPr>
                      <w:b w:val="0"/>
                      <w:bCs w:val="0"/>
                      <w:color w:val="auto"/>
                    </w:rPr>
                  </w:pPr>
                  <w:r>
                    <w:rPr>
                      <w:b w:val="0"/>
                      <w:bCs w:val="0"/>
                      <w:color w:val="auto"/>
                    </w:rPr>
                    <w:t>等效</w:t>
                  </w:r>
                  <w:r>
                    <w:rPr>
                      <w:rFonts w:hint="eastAsia"/>
                      <w:b w:val="0"/>
                      <w:bCs w:val="0"/>
                      <w:color w:val="auto"/>
                      <w:lang w:val="en-US" w:eastAsia="zh-CN"/>
                    </w:rPr>
                    <w:t>连续</w:t>
                  </w:r>
                  <w:r>
                    <w:rPr>
                      <w:b w:val="0"/>
                      <w:bCs w:val="0"/>
                      <w:color w:val="auto"/>
                    </w:rPr>
                    <w:t>A声级</w:t>
                  </w:r>
                </w:p>
              </w:tc>
              <w:tc>
                <w:tcPr>
                  <w:tcW w:w="1522" w:type="dxa"/>
                  <w:noWrap w:val="0"/>
                  <w:vAlign w:val="center"/>
                </w:tcPr>
                <w:p>
                  <w:pPr>
                    <w:pStyle w:val="39"/>
                    <w:bidi w:val="0"/>
                    <w:jc w:val="center"/>
                    <w:rPr>
                      <w:b w:val="0"/>
                      <w:bCs w:val="0"/>
                      <w:color w:val="auto"/>
                    </w:rPr>
                  </w:pPr>
                  <w:r>
                    <w:rPr>
                      <w:rFonts w:hint="eastAsia"/>
                      <w:b w:val="0"/>
                      <w:bCs w:val="0"/>
                      <w:color w:val="auto"/>
                      <w:lang w:val="en-US" w:eastAsia="zh-CN"/>
                    </w:rPr>
                    <w:t>每季度1</w:t>
                  </w:r>
                  <w:r>
                    <w:rPr>
                      <w:b w:val="0"/>
                      <w:bCs w:val="0"/>
                      <w:color w:val="auto"/>
                    </w:rPr>
                    <w:t>次</w:t>
                  </w:r>
                </w:p>
              </w:tc>
              <w:tc>
                <w:tcPr>
                  <w:tcW w:w="3493" w:type="dxa"/>
                  <w:noWrap w:val="0"/>
                  <w:vAlign w:val="center"/>
                </w:tcPr>
                <w:p>
                  <w:pPr>
                    <w:pStyle w:val="39"/>
                    <w:bidi w:val="0"/>
                    <w:jc w:val="center"/>
                    <w:rPr>
                      <w:rFonts w:ascii="Times New Roman" w:hAnsi="Times New Roman" w:eastAsia="宋体" w:cs="Times New Roman"/>
                      <w:b w:val="0"/>
                      <w:bCs w:val="0"/>
                      <w:color w:val="auto"/>
                      <w:kern w:val="0"/>
                      <w:sz w:val="21"/>
                      <w:szCs w:val="22"/>
                      <w:lang w:val="en-US" w:eastAsia="zh-CN" w:bidi="ar-SA"/>
                    </w:rPr>
                  </w:pPr>
                  <w:r>
                    <w:rPr>
                      <w:b w:val="0"/>
                      <w:bCs w:val="0"/>
                      <w:color w:val="auto"/>
                    </w:rPr>
                    <w:t>《工业企业厂界环境噪声排放标准》（GB12348-2008）</w:t>
                  </w:r>
                  <w:r>
                    <w:rPr>
                      <w:rFonts w:hint="eastAsia" w:ascii="Times New Roman" w:hAnsi="Times New Roman" w:cs="Times New Roman"/>
                      <w:color w:val="auto"/>
                      <w:lang w:val="en-US" w:eastAsia="zh-CN"/>
                    </w:rPr>
                    <w:t>中</w:t>
                  </w:r>
                  <w:r>
                    <w:rPr>
                      <w:rFonts w:hint="eastAsia"/>
                      <w:b w:val="0"/>
                      <w:bCs w:val="0"/>
                      <w:color w:val="auto"/>
                      <w:lang w:val="en-US" w:eastAsia="zh-CN"/>
                    </w:rPr>
                    <w:t>2</w:t>
                  </w:r>
                  <w:r>
                    <w:rPr>
                      <w:b w:val="0"/>
                      <w:bCs w:val="0"/>
                      <w:color w:val="auto"/>
                    </w:rPr>
                    <w:t>类标准</w:t>
                  </w:r>
                </w:p>
              </w:tc>
            </w:tr>
          </w:tbl>
          <w:p>
            <w:pPr>
              <w:pStyle w:val="41"/>
              <w:keepNext w:val="0"/>
              <w:keepLines w:val="0"/>
              <w:pageBreakBefore w:val="0"/>
              <w:kinsoku/>
              <w:wordWrap/>
              <w:overflowPunct/>
              <w:topLinePunct w:val="0"/>
              <w:autoSpaceDE/>
              <w:autoSpaceDN/>
              <w:bidi w:val="0"/>
              <w:adjustRightInd/>
              <w:snapToGrid/>
              <w:spacing w:line="460" w:lineRule="exact"/>
              <w:ind w:left="0" w:leftChars="0" w:firstLine="0" w:firstLineChars="0"/>
              <w:textAlignment w:val="auto"/>
              <w:rPr>
                <w:rFonts w:hint="default"/>
                <w:b/>
                <w:bCs/>
              </w:rPr>
            </w:pPr>
            <w:r>
              <w:rPr>
                <w:rFonts w:hint="eastAsia"/>
                <w:b/>
                <w:bCs/>
                <w:lang w:val="en-US" w:eastAsia="zh-CN"/>
              </w:rPr>
              <w:t xml:space="preserve">4 </w:t>
            </w:r>
            <w:r>
              <w:rPr>
                <w:rFonts w:hint="default"/>
                <w:b/>
                <w:bCs/>
              </w:rPr>
              <w:t>固体废物</w:t>
            </w:r>
          </w:p>
          <w:p>
            <w:pPr>
              <w:pStyle w:val="41"/>
              <w:keepNext w:val="0"/>
              <w:keepLines w:val="0"/>
              <w:pageBreakBefore w:val="0"/>
              <w:kinsoku/>
              <w:wordWrap/>
              <w:overflowPunct/>
              <w:topLinePunct w:val="0"/>
              <w:autoSpaceDE/>
              <w:autoSpaceDN/>
              <w:bidi w:val="0"/>
              <w:adjustRightInd/>
              <w:snapToGrid/>
              <w:spacing w:line="460" w:lineRule="exact"/>
              <w:textAlignment w:val="auto"/>
              <w:rPr>
                <w:rFonts w:hint="default" w:eastAsia="宋体"/>
                <w:lang w:val="en-US" w:eastAsia="zh-CN"/>
              </w:rPr>
            </w:pPr>
            <w:r>
              <w:rPr>
                <w:rFonts w:hint="eastAsia"/>
                <w:b/>
                <w:bCs/>
                <w:lang w:val="en-US" w:eastAsia="zh-CN"/>
              </w:rPr>
              <w:t>4.1固体废物产生情况</w:t>
            </w:r>
          </w:p>
          <w:p>
            <w:pPr>
              <w:pStyle w:val="41"/>
              <w:keepNext w:val="0"/>
              <w:keepLines w:val="0"/>
              <w:pageBreakBefore w:val="0"/>
              <w:kinsoku/>
              <w:wordWrap/>
              <w:overflowPunct/>
              <w:topLinePunct w:val="0"/>
              <w:autoSpaceDE/>
              <w:autoSpaceDN/>
              <w:bidi w:val="0"/>
              <w:adjustRightInd/>
              <w:snapToGrid/>
              <w:spacing w:line="460" w:lineRule="exact"/>
              <w:textAlignment w:val="auto"/>
              <w:rPr>
                <w:rFonts w:hint="default"/>
                <w:b/>
                <w:bCs/>
              </w:rPr>
            </w:pPr>
            <w:r>
              <w:rPr>
                <w:rFonts w:hint="default"/>
                <w:b/>
                <w:bCs/>
              </w:rPr>
              <w:t>（1）生活垃圾</w:t>
            </w:r>
          </w:p>
          <w:p>
            <w:pPr>
              <w:pStyle w:val="41"/>
              <w:keepNext w:val="0"/>
              <w:keepLines w:val="0"/>
              <w:pageBreakBefore w:val="0"/>
              <w:kinsoku/>
              <w:wordWrap/>
              <w:overflowPunct/>
              <w:topLinePunct w:val="0"/>
              <w:autoSpaceDE/>
              <w:autoSpaceDN/>
              <w:bidi w:val="0"/>
              <w:adjustRightInd/>
              <w:snapToGrid/>
              <w:spacing w:line="460" w:lineRule="exact"/>
              <w:textAlignment w:val="auto"/>
              <w:rPr>
                <w:rFonts w:hint="default"/>
              </w:rPr>
            </w:pPr>
            <w:r>
              <w:rPr>
                <w:rFonts w:hint="eastAsia" w:ascii="Times New Roman" w:hAnsi="Times New Roman" w:eastAsia="宋体" w:cs="Times New Roman"/>
                <w:color w:val="000000"/>
                <w:sz w:val="24"/>
                <w:szCs w:val="24"/>
                <w:lang w:eastAsia="zh-CN"/>
              </w:rPr>
              <w:t>本</w:t>
            </w:r>
            <w:r>
              <w:rPr>
                <w:rFonts w:hint="eastAsia" w:cs="Times New Roman"/>
                <w:color w:val="000000"/>
                <w:sz w:val="24"/>
                <w:szCs w:val="24"/>
                <w:lang w:val="en-US" w:eastAsia="zh-CN"/>
              </w:rPr>
              <w:t>项目劳动定员13人</w:t>
            </w:r>
            <w:r>
              <w:rPr>
                <w:rFonts w:hint="default"/>
              </w:rPr>
              <w:t>，生活垃圾产生系数按0.5kg/（人·d）计算，则生活垃圾产生量约为</w:t>
            </w:r>
            <w:r>
              <w:rPr>
                <w:rFonts w:hint="eastAsia"/>
                <w:lang w:val="en-US" w:eastAsia="zh-CN"/>
              </w:rPr>
              <w:t>1.95</w:t>
            </w:r>
            <w:r>
              <w:rPr>
                <w:rFonts w:hint="default"/>
              </w:rPr>
              <w:t>t/a</w:t>
            </w:r>
            <w:r>
              <w:rPr>
                <w:rFonts w:hint="eastAsia"/>
                <w:lang w:eastAsia="zh-CN"/>
              </w:rPr>
              <w:t>。项目厂区内设置若干个垃圾收集桶，集中</w:t>
            </w:r>
            <w:r>
              <w:rPr>
                <w:rFonts w:hint="default"/>
              </w:rPr>
              <w:t>收集后交环卫部门定期清运。</w:t>
            </w:r>
          </w:p>
          <w:p>
            <w:pPr>
              <w:pStyle w:val="41"/>
              <w:keepNext w:val="0"/>
              <w:keepLines w:val="0"/>
              <w:pageBreakBefore w:val="0"/>
              <w:kinsoku/>
              <w:wordWrap/>
              <w:overflowPunct/>
              <w:topLinePunct w:val="0"/>
              <w:autoSpaceDE/>
              <w:autoSpaceDN/>
              <w:bidi w:val="0"/>
              <w:adjustRightInd/>
              <w:snapToGrid/>
              <w:spacing w:line="460" w:lineRule="exact"/>
              <w:textAlignment w:val="auto"/>
              <w:rPr>
                <w:rFonts w:hint="default"/>
                <w:b/>
                <w:bCs/>
              </w:rPr>
            </w:pPr>
            <w:r>
              <w:rPr>
                <w:rFonts w:hint="default"/>
                <w:b/>
                <w:bCs/>
              </w:rPr>
              <w:t>（2）</w:t>
            </w:r>
            <w:r>
              <w:rPr>
                <w:rFonts w:hint="eastAsia"/>
                <w:b/>
                <w:bCs/>
                <w:lang w:eastAsia="zh-CN"/>
              </w:rPr>
              <w:t>一般工业固体废物</w:t>
            </w:r>
          </w:p>
          <w:p>
            <w:pPr>
              <w:pStyle w:val="41"/>
              <w:keepNext w:val="0"/>
              <w:keepLines w:val="0"/>
              <w:pageBreakBefore w:val="0"/>
              <w:kinsoku/>
              <w:wordWrap/>
              <w:overflowPunct/>
              <w:topLinePunct w:val="0"/>
              <w:autoSpaceDE/>
              <w:autoSpaceDN/>
              <w:bidi w:val="0"/>
              <w:adjustRightInd/>
              <w:snapToGrid/>
              <w:spacing w:line="460" w:lineRule="exact"/>
              <w:textAlignment w:val="auto"/>
              <w:rPr>
                <w:rFonts w:hint="default"/>
                <w:lang w:val="en-US" w:eastAsia="zh-CN"/>
              </w:rPr>
            </w:pPr>
            <w:r>
              <w:rPr>
                <w:rFonts w:hint="eastAsia"/>
                <w:lang w:val="en-US" w:eastAsia="zh-CN"/>
              </w:rPr>
              <w:t>本项目设置30m</w:t>
            </w:r>
            <w:r>
              <w:rPr>
                <w:rFonts w:hint="eastAsia"/>
                <w:vertAlign w:val="superscript"/>
                <w:lang w:val="en-US" w:eastAsia="zh-CN"/>
              </w:rPr>
              <w:t>2</w:t>
            </w:r>
            <w:r>
              <w:rPr>
                <w:rFonts w:hint="eastAsia"/>
                <w:lang w:val="en-US" w:eastAsia="zh-CN"/>
              </w:rPr>
              <w:t>的一般固体废物暂存间。运营期产生的一般工业固体废物分类收集后，暂存于一般固体废物暂存间，定期外售综合利用/委托处置。</w:t>
            </w:r>
          </w:p>
          <w:p>
            <w:pPr>
              <w:pStyle w:val="75"/>
              <w:keepNext w:val="0"/>
              <w:keepLines w:val="0"/>
              <w:pageBreakBefore w:val="0"/>
              <w:kinsoku/>
              <w:wordWrap/>
              <w:overflowPunct/>
              <w:topLinePunct w:val="0"/>
              <w:autoSpaceDE/>
              <w:autoSpaceDN/>
              <w:bidi w:val="0"/>
              <w:adjustRightInd/>
              <w:snapToGrid/>
              <w:spacing w:line="460" w:lineRule="exact"/>
              <w:ind w:firstLine="480"/>
              <w:textAlignment w:val="auto"/>
              <w:rPr>
                <w:rFonts w:hint="default"/>
                <w:b/>
                <w:bCs/>
                <w:color w:val="auto"/>
                <w:lang w:val="en-US" w:eastAsia="zh-CN"/>
              </w:rPr>
            </w:pPr>
            <w:r>
              <w:rPr>
                <w:rFonts w:hint="default"/>
                <w:b/>
                <w:bCs/>
                <w:lang w:val="en-US" w:eastAsia="zh-CN"/>
              </w:rPr>
              <w:fldChar w:fldCharType="begin"/>
            </w:r>
            <w:r>
              <w:rPr>
                <w:rFonts w:hint="default"/>
                <w:b/>
                <w:bCs/>
                <w:lang w:val="en-US" w:eastAsia="zh-CN"/>
              </w:rPr>
              <w:instrText xml:space="preserve"> = 1 \* GB3 \* MERGEFORMAT </w:instrText>
            </w:r>
            <w:r>
              <w:rPr>
                <w:rFonts w:hint="default"/>
                <w:b/>
                <w:bCs/>
                <w:lang w:val="en-US" w:eastAsia="zh-CN"/>
              </w:rPr>
              <w:fldChar w:fldCharType="separate"/>
            </w:r>
            <w:r>
              <w:rPr>
                <w:b/>
                <w:bCs/>
              </w:rPr>
              <w:t>①</w:t>
            </w:r>
            <w:r>
              <w:rPr>
                <w:rFonts w:hint="default"/>
                <w:b/>
                <w:bCs/>
                <w:lang w:val="en-US" w:eastAsia="zh-CN"/>
              </w:rPr>
              <w:fldChar w:fldCharType="end"/>
            </w:r>
            <w:r>
              <w:rPr>
                <w:rFonts w:hint="eastAsia"/>
                <w:b/>
                <w:bCs/>
                <w:color w:val="auto"/>
                <w:lang w:eastAsia="zh-CN"/>
              </w:rPr>
              <w:t>废钢丸</w:t>
            </w:r>
            <w:r>
              <w:rPr>
                <w:rFonts w:hint="eastAsia"/>
                <w:b/>
                <w:bCs/>
                <w:color w:val="auto"/>
                <w:lang w:val="en-US" w:eastAsia="zh-CN"/>
              </w:rPr>
              <w:t>及抛丸清理渣</w:t>
            </w:r>
          </w:p>
          <w:p>
            <w:pPr>
              <w:pStyle w:val="41"/>
              <w:keepNext w:val="0"/>
              <w:keepLines w:val="0"/>
              <w:pageBreakBefore w:val="0"/>
              <w:kinsoku/>
              <w:wordWrap/>
              <w:overflowPunct/>
              <w:topLinePunct w:val="0"/>
              <w:autoSpaceDE/>
              <w:autoSpaceDN/>
              <w:bidi w:val="0"/>
              <w:adjustRightInd/>
              <w:snapToGrid/>
              <w:spacing w:line="460" w:lineRule="exact"/>
              <w:textAlignment w:val="auto"/>
              <w:rPr>
                <w:rFonts w:hint="default"/>
                <w:color w:val="auto"/>
                <w:lang w:val="en-US" w:eastAsia="zh-CN"/>
              </w:rPr>
            </w:pPr>
            <w:r>
              <w:rPr>
                <w:rFonts w:hint="eastAsia"/>
                <w:color w:val="auto"/>
                <w:lang w:eastAsia="zh-CN"/>
              </w:rPr>
              <w:t>本项目抛丸清理机使用不同规格的钢丸，需定期更换</w:t>
            </w:r>
            <w:r>
              <w:rPr>
                <w:color w:val="auto"/>
                <w:lang w:eastAsia="zh-CN"/>
              </w:rPr>
              <w:t>。</w:t>
            </w:r>
            <w:r>
              <w:rPr>
                <w:rFonts w:hint="eastAsia"/>
                <w:color w:val="auto"/>
                <w:lang w:val="en-US" w:eastAsia="zh-CN"/>
              </w:rPr>
              <w:t>抛丸用量约5t/a，钢丸的损耗率取5%，则废钢丸产生量为4.75 t/a</w:t>
            </w:r>
            <w:r>
              <w:rPr>
                <w:color w:val="auto"/>
                <w:lang w:eastAsia="zh-CN"/>
              </w:rPr>
              <w:t>，集中收集暂存</w:t>
            </w:r>
            <w:r>
              <w:rPr>
                <w:rFonts w:hint="eastAsia"/>
                <w:color w:val="auto"/>
                <w:lang w:eastAsia="zh-CN"/>
              </w:rPr>
              <w:t>后</w:t>
            </w:r>
            <w:r>
              <w:rPr>
                <w:color w:val="auto"/>
                <w:lang w:eastAsia="zh-CN"/>
              </w:rPr>
              <w:t>，</w:t>
            </w:r>
            <w:r>
              <w:rPr>
                <w:rFonts w:hint="eastAsia"/>
                <w:color w:val="auto"/>
                <w:lang w:eastAsia="zh-CN"/>
              </w:rPr>
              <w:t>外售综合利用</w:t>
            </w:r>
            <w:r>
              <w:rPr>
                <w:rFonts w:hint="eastAsia"/>
                <w:color w:val="auto"/>
                <w:lang w:val="en-US" w:eastAsia="zh-CN"/>
              </w:rPr>
              <w:t>。</w:t>
            </w:r>
          </w:p>
          <w:p>
            <w:pPr>
              <w:pStyle w:val="75"/>
              <w:keepNext w:val="0"/>
              <w:keepLines w:val="0"/>
              <w:pageBreakBefore w:val="0"/>
              <w:kinsoku/>
              <w:wordWrap/>
              <w:overflowPunct/>
              <w:topLinePunct w:val="0"/>
              <w:autoSpaceDE/>
              <w:autoSpaceDN/>
              <w:bidi w:val="0"/>
              <w:adjustRightInd/>
              <w:snapToGrid/>
              <w:spacing w:line="460" w:lineRule="exact"/>
              <w:ind w:firstLine="480"/>
              <w:textAlignment w:val="auto"/>
              <w:rPr>
                <w:rFonts w:hint="default"/>
                <w:b/>
                <w:bCs/>
                <w:color w:val="auto"/>
                <w:lang w:val="en-US" w:eastAsia="zh-CN"/>
              </w:rPr>
            </w:pPr>
            <w:r>
              <w:rPr>
                <w:rFonts w:hint="eastAsia"/>
                <w:b/>
                <w:bCs/>
                <w:color w:val="auto"/>
                <w:lang w:eastAsia="zh-CN"/>
              </w:rPr>
              <w:t>②废</w:t>
            </w:r>
            <w:r>
              <w:rPr>
                <w:rFonts w:hint="eastAsia"/>
                <w:b/>
                <w:bCs/>
                <w:color w:val="auto"/>
                <w:lang w:val="en-US" w:eastAsia="zh-CN"/>
              </w:rPr>
              <w:t>炉渣</w:t>
            </w:r>
          </w:p>
          <w:p>
            <w:pPr>
              <w:pStyle w:val="41"/>
              <w:keepNext w:val="0"/>
              <w:keepLines w:val="0"/>
              <w:pageBreakBefore w:val="0"/>
              <w:kinsoku/>
              <w:wordWrap/>
              <w:overflowPunct/>
              <w:topLinePunct w:val="0"/>
              <w:autoSpaceDE/>
              <w:autoSpaceDN/>
              <w:bidi w:val="0"/>
              <w:adjustRightInd/>
              <w:snapToGrid/>
              <w:spacing w:line="460" w:lineRule="exact"/>
              <w:textAlignment w:val="auto"/>
              <w:rPr>
                <w:rFonts w:hint="eastAsia"/>
                <w:color w:val="auto"/>
                <w:lang w:eastAsia="zh-CN"/>
              </w:rPr>
            </w:pPr>
            <w:r>
              <w:rPr>
                <w:rFonts w:hint="eastAsia"/>
                <w:color w:val="auto"/>
                <w:lang w:val="en-US" w:eastAsia="zh-CN"/>
              </w:rPr>
              <w:t>根据与建设单位核实，废炉渣产生量为</w:t>
            </w:r>
            <w:r>
              <w:rPr>
                <w:rFonts w:hint="default"/>
                <w:color w:val="auto"/>
                <w:lang w:val="en-US" w:eastAsia="zh-CN"/>
              </w:rPr>
              <w:t xml:space="preserve">50kg/t </w:t>
            </w:r>
            <w:r>
              <w:rPr>
                <w:rFonts w:hint="eastAsia"/>
                <w:color w:val="auto"/>
                <w:lang w:val="en-US" w:eastAsia="zh-CN"/>
              </w:rPr>
              <w:t xml:space="preserve">产品，项目废炉渣产生量为95 </w:t>
            </w:r>
            <w:r>
              <w:rPr>
                <w:rFonts w:hint="default"/>
                <w:color w:val="auto"/>
                <w:lang w:val="en-US" w:eastAsia="zh-CN"/>
              </w:rPr>
              <w:t>t/a</w:t>
            </w:r>
            <w:r>
              <w:rPr>
                <w:rFonts w:hint="eastAsia"/>
                <w:color w:val="auto"/>
                <w:lang w:val="en-US" w:eastAsia="zh-CN"/>
              </w:rPr>
              <w:t>，炉渣经收集后统一外售，综合利用。</w:t>
            </w:r>
          </w:p>
          <w:p>
            <w:pPr>
              <w:pStyle w:val="41"/>
              <w:keepNext w:val="0"/>
              <w:keepLines w:val="0"/>
              <w:pageBreakBefore w:val="0"/>
              <w:kinsoku/>
              <w:wordWrap/>
              <w:overflowPunct/>
              <w:topLinePunct w:val="0"/>
              <w:autoSpaceDE/>
              <w:autoSpaceDN/>
              <w:bidi w:val="0"/>
              <w:adjustRightInd/>
              <w:snapToGrid/>
              <w:spacing w:line="460" w:lineRule="exact"/>
              <w:textAlignment w:val="auto"/>
              <w:rPr>
                <w:b/>
                <w:bCs/>
                <w:color w:val="auto"/>
                <w:lang w:eastAsia="zh-CN"/>
              </w:rPr>
            </w:pPr>
            <w:r>
              <w:rPr>
                <w:rFonts w:hint="eastAsia"/>
                <w:b/>
                <w:bCs/>
                <w:color w:val="auto"/>
                <w:lang w:eastAsia="zh-CN"/>
              </w:rPr>
              <w:t>③</w:t>
            </w:r>
            <w:r>
              <w:rPr>
                <w:rFonts w:hint="eastAsia"/>
                <w:b/>
                <w:bCs/>
                <w:color w:val="auto"/>
                <w:lang w:val="en-US" w:eastAsia="zh-CN"/>
              </w:rPr>
              <w:t>废砂</w:t>
            </w:r>
          </w:p>
          <w:p>
            <w:pPr>
              <w:pStyle w:val="41"/>
              <w:keepNext w:val="0"/>
              <w:keepLines w:val="0"/>
              <w:pageBreakBefore w:val="0"/>
              <w:kinsoku/>
              <w:wordWrap/>
              <w:overflowPunct/>
              <w:topLinePunct w:val="0"/>
              <w:autoSpaceDE/>
              <w:autoSpaceDN/>
              <w:bidi w:val="0"/>
              <w:adjustRightInd/>
              <w:snapToGrid/>
              <w:spacing w:line="460" w:lineRule="exact"/>
              <w:textAlignment w:val="auto"/>
              <w:rPr>
                <w:rFonts w:hint="eastAsia"/>
                <w:color w:val="auto"/>
                <w:lang w:eastAsia="zh-CN"/>
              </w:rPr>
            </w:pPr>
            <w:r>
              <w:rPr>
                <w:rFonts w:hint="eastAsia"/>
                <w:color w:val="auto"/>
                <w:lang w:val="en-US" w:eastAsia="zh-CN"/>
              </w:rPr>
              <w:t>根据建设单位提供的材料，石英砂有</w:t>
            </w:r>
            <w:r>
              <w:rPr>
                <w:rFonts w:hint="default"/>
                <w:color w:val="auto"/>
                <w:lang w:val="en-US" w:eastAsia="zh-CN"/>
              </w:rPr>
              <w:t>400</w:t>
            </w:r>
            <w:r>
              <w:rPr>
                <w:rFonts w:hint="eastAsia"/>
                <w:color w:val="auto"/>
                <w:lang w:val="en-US" w:eastAsia="zh-CN"/>
              </w:rPr>
              <w:t xml:space="preserve">t循环使用，砂处理过程废砂产生量为200 </w:t>
            </w:r>
            <w:r>
              <w:rPr>
                <w:rFonts w:hint="default"/>
                <w:color w:val="auto"/>
                <w:lang w:val="en-US" w:eastAsia="zh-CN"/>
              </w:rPr>
              <w:t>t/a</w:t>
            </w:r>
            <w:r>
              <w:rPr>
                <w:rFonts w:hint="eastAsia"/>
                <w:color w:val="auto"/>
                <w:lang w:val="en-US" w:eastAsia="zh-CN"/>
              </w:rPr>
              <w:t>，作为建筑材料外售。每年补充新砂用量约200t/a。</w:t>
            </w:r>
          </w:p>
          <w:p>
            <w:pPr>
              <w:pStyle w:val="75"/>
              <w:keepNext w:val="0"/>
              <w:keepLines w:val="0"/>
              <w:pageBreakBefore w:val="0"/>
              <w:kinsoku/>
              <w:wordWrap/>
              <w:overflowPunct/>
              <w:topLinePunct w:val="0"/>
              <w:autoSpaceDE/>
              <w:autoSpaceDN/>
              <w:bidi w:val="0"/>
              <w:adjustRightInd/>
              <w:snapToGrid/>
              <w:spacing w:line="460" w:lineRule="exact"/>
              <w:ind w:firstLine="480"/>
              <w:textAlignment w:val="auto"/>
              <w:rPr>
                <w:rFonts w:hint="default"/>
                <w:b/>
                <w:bCs/>
                <w:color w:val="auto"/>
                <w:lang w:val="en-US" w:eastAsia="zh-CN"/>
              </w:rPr>
            </w:pPr>
            <w:r>
              <w:rPr>
                <w:rFonts w:hint="eastAsia"/>
                <w:b/>
                <w:bCs/>
                <w:color w:val="auto"/>
                <w:lang w:eastAsia="zh-CN"/>
              </w:rPr>
              <w:t>④废包装材料</w:t>
            </w:r>
          </w:p>
          <w:p>
            <w:pPr>
              <w:pStyle w:val="41"/>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本项目硅铁、膨润土、硅砂的采用袋装，产生</w:t>
            </w:r>
            <w:r>
              <w:rPr>
                <w:rFonts w:hint="eastAsia"/>
                <w:color w:val="auto"/>
                <w:lang w:val="en-US" w:eastAsia="zh-CN"/>
              </w:rPr>
              <w:t>废纸箱、废木托、废塑料等废包装物。全厂废包装物产生量约1t/a，</w:t>
            </w:r>
            <w:r>
              <w:rPr>
                <w:rFonts w:hint="eastAsia" w:ascii="宋体" w:hAnsi="宋体" w:eastAsia="宋体" w:cs="宋体"/>
                <w:color w:val="000000"/>
                <w:kern w:val="0"/>
                <w:sz w:val="24"/>
                <w:szCs w:val="24"/>
                <w:lang w:val="en-US" w:eastAsia="zh-CN" w:bidi="ar"/>
              </w:rPr>
              <w:t>由物资回收公司回收利用。</w:t>
            </w:r>
          </w:p>
          <w:p>
            <w:pPr>
              <w:pStyle w:val="41"/>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000000"/>
                <w:kern w:val="0"/>
                <w:sz w:val="24"/>
                <w:szCs w:val="24"/>
                <w:lang w:val="en-US" w:eastAsia="zh-CN" w:bidi="ar"/>
              </w:rPr>
            </w:pPr>
            <w:r>
              <w:rPr>
                <w:rFonts w:hint="eastAsia" w:ascii="微软雅黑" w:hAnsi="微软雅黑" w:eastAsia="微软雅黑" w:cs="微软雅黑"/>
                <w:b/>
                <w:bCs/>
                <w:color w:val="000000"/>
                <w:kern w:val="0"/>
                <w:sz w:val="24"/>
                <w:szCs w:val="24"/>
                <w:lang w:val="en-US" w:eastAsia="zh-CN" w:bidi="ar"/>
              </w:rPr>
              <w:t>⑤</w:t>
            </w:r>
            <w:r>
              <w:rPr>
                <w:rFonts w:hint="eastAsia" w:ascii="宋体" w:hAnsi="宋体" w:eastAsia="宋体" w:cs="宋体"/>
                <w:b/>
                <w:bCs/>
                <w:color w:val="000000"/>
                <w:kern w:val="0"/>
                <w:sz w:val="24"/>
                <w:szCs w:val="24"/>
                <w:lang w:val="en-US" w:eastAsia="zh-CN" w:bidi="ar"/>
              </w:rPr>
              <w:t xml:space="preserve">除尘器收集粉尘 </w:t>
            </w:r>
          </w:p>
          <w:p>
            <w:pPr>
              <w:pStyle w:val="41"/>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布袋除尘器收集粉尘量</w:t>
            </w:r>
            <w:r>
              <w:rPr>
                <w:rFonts w:hint="default" w:ascii="Times New Roman" w:hAnsi="Times New Roman" w:eastAsia="宋体" w:cs="Times New Roman"/>
                <w:color w:val="000000"/>
                <w:kern w:val="0"/>
                <w:sz w:val="24"/>
                <w:szCs w:val="24"/>
                <w:lang w:val="en-US" w:eastAsia="zh-CN" w:bidi="ar"/>
              </w:rPr>
              <w:t>为36.12t/a，该部分粉尘经集中</w:t>
            </w:r>
            <w:r>
              <w:rPr>
                <w:rFonts w:hint="eastAsia" w:ascii="宋体" w:hAnsi="宋体" w:eastAsia="宋体" w:cs="宋体"/>
                <w:color w:val="000000"/>
                <w:kern w:val="0"/>
                <w:sz w:val="24"/>
                <w:szCs w:val="24"/>
                <w:lang w:val="en-US" w:eastAsia="zh-CN" w:bidi="ar"/>
              </w:rPr>
              <w:t>收集后统一外售，作进一步综合利用。</w:t>
            </w:r>
          </w:p>
          <w:p>
            <w:pPr>
              <w:pStyle w:val="72"/>
              <w:numPr>
                <w:ilvl w:val="0"/>
                <w:numId w:val="3"/>
              </w:numPr>
              <w:bidi w:val="0"/>
              <w:rPr>
                <w:rFonts w:hint="eastAsia"/>
                <w:b/>
                <w:bCs/>
                <w:lang w:val="en-US" w:eastAsia="zh-CN"/>
              </w:rPr>
            </w:pPr>
            <w:r>
              <w:rPr>
                <w:rFonts w:hint="eastAsia"/>
                <w:b/>
                <w:bCs/>
                <w:lang w:val="en-US" w:eastAsia="zh-CN"/>
              </w:rPr>
              <w:t>危险废物</w:t>
            </w:r>
          </w:p>
          <w:p>
            <w:pPr>
              <w:pStyle w:val="41"/>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000000"/>
                <w:kern w:val="0"/>
                <w:sz w:val="24"/>
                <w:szCs w:val="24"/>
                <w:lang w:val="en-US" w:eastAsia="zh-CN" w:bidi="ar"/>
              </w:rPr>
            </w:pPr>
            <w:r>
              <w:rPr>
                <w:rFonts w:hint="default"/>
                <w:b/>
                <w:bCs/>
                <w:lang w:val="en-US" w:eastAsia="zh-CN"/>
              </w:rPr>
              <w:fldChar w:fldCharType="begin"/>
            </w:r>
            <w:r>
              <w:rPr>
                <w:rFonts w:hint="default"/>
                <w:b/>
                <w:bCs/>
                <w:lang w:val="en-US" w:eastAsia="zh-CN"/>
              </w:rPr>
              <w:instrText xml:space="preserve"> = 1 \* GB3 \* MERGEFORMAT </w:instrText>
            </w:r>
            <w:r>
              <w:rPr>
                <w:rFonts w:hint="default"/>
                <w:b/>
                <w:bCs/>
                <w:lang w:val="en-US" w:eastAsia="zh-CN"/>
              </w:rPr>
              <w:fldChar w:fldCharType="separate"/>
            </w:r>
            <w:r>
              <w:rPr>
                <w:b/>
                <w:bCs/>
              </w:rPr>
              <w:t>①</w:t>
            </w:r>
            <w:r>
              <w:rPr>
                <w:rFonts w:hint="default"/>
                <w:b/>
                <w:bCs/>
                <w:lang w:val="en-US" w:eastAsia="zh-CN"/>
              </w:rPr>
              <w:fldChar w:fldCharType="end"/>
            </w:r>
            <w:r>
              <w:rPr>
                <w:rFonts w:hint="eastAsia" w:ascii="宋体" w:hAnsi="宋体" w:eastAsia="宋体" w:cs="宋体"/>
                <w:b/>
                <w:bCs/>
                <w:color w:val="000000"/>
                <w:kern w:val="0"/>
                <w:sz w:val="24"/>
                <w:szCs w:val="24"/>
                <w:lang w:val="en-US" w:eastAsia="zh-CN" w:bidi="ar"/>
              </w:rPr>
              <w:t xml:space="preserve">三乙胺净化废水 </w:t>
            </w:r>
          </w:p>
          <w:p>
            <w:pPr>
              <w:pStyle w:val="41"/>
              <w:keepNext w:val="0"/>
              <w:keepLines w:val="0"/>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本项目三乙胺采用净化塔净化，根据前文分析，三乙胺净化废水产生量为</w:t>
            </w:r>
            <w:r>
              <w:rPr>
                <w:rFonts w:hint="default" w:ascii="Times New Roman" w:hAnsi="Times New Roman" w:cs="Times New Roman"/>
                <w:color w:val="000000"/>
                <w:kern w:val="0"/>
                <w:sz w:val="24"/>
                <w:szCs w:val="24"/>
                <w:lang w:val="en-US" w:eastAsia="zh-CN" w:bidi="ar"/>
              </w:rPr>
              <w:t>12</w:t>
            </w:r>
            <w:r>
              <w:rPr>
                <w:rFonts w:hint="default" w:ascii="Times New Roman" w:hAnsi="Times New Roman" w:eastAsia="宋体" w:cs="Times New Roman"/>
                <w:color w:val="000000"/>
                <w:kern w:val="0"/>
                <w:sz w:val="24"/>
                <w:szCs w:val="24"/>
                <w:lang w:val="en-US" w:eastAsia="zh-CN" w:bidi="ar"/>
              </w:rPr>
              <w:t>t/a，主要含量为三乙胺磷酸盐。根据《国家危险废物名录》（2021 年版）， 属于</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HW49</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类危险废物，废物代码 900-047-49，建设单位收集在厂 区危废暂存间暂存后定期委托有此类危险废物处理资质单位进行处理。</w:t>
            </w:r>
          </w:p>
          <w:p>
            <w:pPr>
              <w:pStyle w:val="72"/>
              <w:bidi w:val="0"/>
              <w:ind w:left="0" w:leftChars="0" w:firstLine="0" w:firstLineChars="0"/>
              <w:jc w:val="center"/>
              <w:rPr>
                <w:rFonts w:hint="eastAsia"/>
                <w:b/>
                <w:bCs/>
                <w:color w:val="auto"/>
                <w:lang w:val="en-US" w:eastAsia="zh-CN"/>
              </w:rPr>
            </w:pPr>
            <w:r>
              <w:rPr>
                <w:rFonts w:hint="eastAsia"/>
                <w:b/>
                <w:bCs/>
                <w:color w:val="auto"/>
                <w:lang w:val="en-US" w:eastAsia="zh-CN"/>
              </w:rPr>
              <w:t>表 4-8    项目固体废物产生及处置情况</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215"/>
              <w:gridCol w:w="1114"/>
              <w:gridCol w:w="836"/>
              <w:gridCol w:w="1148"/>
              <w:gridCol w:w="742"/>
              <w:gridCol w:w="1244"/>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42" w:type="dxa"/>
                  <w:textDirection w:val="tbRlV"/>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b w:val="0"/>
                      <w:bCs w:val="0"/>
                      <w:color w:val="auto"/>
                      <w:spacing w:val="-2"/>
                      <w:sz w:val="21"/>
                      <w:szCs w:val="21"/>
                      <w:lang w:val="en-US" w:eastAsia="zh-CN"/>
                    </w:rPr>
                  </w:pPr>
                  <w:r>
                    <w:rPr>
                      <w:rFonts w:hint="eastAsia" w:ascii="宋体" w:hAnsi="宋体" w:cs="宋体"/>
                      <w:b w:val="0"/>
                      <w:bCs w:val="0"/>
                      <w:color w:val="auto"/>
                      <w:spacing w:val="-2"/>
                      <w:sz w:val="21"/>
                      <w:szCs w:val="21"/>
                      <w:lang w:val="en-US" w:eastAsia="zh-CN"/>
                    </w:rPr>
                    <w:t>序号</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b w:val="0"/>
                      <w:bCs w:val="0"/>
                      <w:color w:val="auto"/>
                      <w:spacing w:val="-2"/>
                      <w:sz w:val="21"/>
                      <w:szCs w:val="21"/>
                      <w:lang w:val="en-US" w:eastAsia="zh-CN"/>
                    </w:rPr>
                  </w:pPr>
                  <w:r>
                    <w:rPr>
                      <w:rFonts w:ascii="宋体" w:hAnsi="宋体" w:eastAsia="宋体" w:cs="宋体"/>
                      <w:b w:val="0"/>
                      <w:bCs w:val="0"/>
                      <w:color w:val="auto"/>
                      <w:spacing w:val="-2"/>
                      <w:sz w:val="21"/>
                      <w:szCs w:val="21"/>
                    </w:rPr>
                    <w:t>名称</w:t>
                  </w:r>
                </w:p>
              </w:tc>
              <w:tc>
                <w:tcPr>
                  <w:tcW w:w="111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color w:val="auto"/>
                      <w:sz w:val="21"/>
                      <w:szCs w:val="21"/>
                      <w:vertAlign w:val="baseline"/>
                      <w:lang w:val="en-US" w:eastAsia="zh-CN"/>
                    </w:rPr>
                  </w:pPr>
                  <w:r>
                    <w:rPr>
                      <w:rFonts w:ascii="宋体" w:hAnsi="宋体" w:eastAsia="宋体" w:cs="宋体"/>
                      <w:b w:val="0"/>
                      <w:bCs w:val="0"/>
                      <w:color w:val="auto"/>
                      <w:spacing w:val="-2"/>
                      <w:sz w:val="21"/>
                      <w:szCs w:val="21"/>
                    </w:rPr>
                    <w:t>类别及代</w:t>
                  </w:r>
                  <w:r>
                    <w:rPr>
                      <w:rFonts w:ascii="宋体" w:hAnsi="宋体" w:eastAsia="宋体" w:cs="宋体"/>
                      <w:b w:val="0"/>
                      <w:bCs w:val="0"/>
                      <w:color w:val="auto"/>
                      <w:spacing w:val="1"/>
                      <w:sz w:val="21"/>
                      <w:szCs w:val="21"/>
                    </w:rPr>
                    <w:t xml:space="preserve"> </w:t>
                  </w:r>
                  <w:r>
                    <w:rPr>
                      <w:rFonts w:ascii="宋体" w:hAnsi="宋体" w:eastAsia="宋体" w:cs="宋体"/>
                      <w:b w:val="0"/>
                      <w:bCs w:val="0"/>
                      <w:color w:val="auto"/>
                      <w:sz w:val="21"/>
                      <w:szCs w:val="21"/>
                    </w:rPr>
                    <w:t>码</w:t>
                  </w:r>
                </w:p>
              </w:tc>
              <w:tc>
                <w:tcPr>
                  <w:tcW w:w="836"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b w:val="0"/>
                      <w:bCs w:val="0"/>
                      <w:color w:val="auto"/>
                      <w:sz w:val="21"/>
                      <w:szCs w:val="21"/>
                    </w:rPr>
                  </w:pPr>
                  <w:r>
                    <w:rPr>
                      <w:rFonts w:ascii="宋体" w:hAnsi="宋体" w:eastAsia="宋体" w:cs="宋体"/>
                      <w:b w:val="0"/>
                      <w:bCs w:val="0"/>
                      <w:color w:val="auto"/>
                      <w:spacing w:val="-2"/>
                      <w:sz w:val="21"/>
                      <w:szCs w:val="21"/>
                    </w:rPr>
                    <w:t>产生量</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 w:val="0"/>
                      <w:bCs w:val="0"/>
                      <w:color w:val="auto"/>
                      <w:sz w:val="21"/>
                      <w:szCs w:val="21"/>
                      <w:vertAlign w:val="baseline"/>
                      <w:lang w:val="en-US" w:eastAsia="zh-CN"/>
                    </w:rPr>
                  </w:pPr>
                  <w:r>
                    <w:rPr>
                      <w:rFonts w:ascii="宋体" w:hAnsi="宋体" w:eastAsia="宋体" w:cs="宋体"/>
                      <w:b w:val="0"/>
                      <w:bCs w:val="0"/>
                      <w:color w:val="auto"/>
                      <w:spacing w:val="-3"/>
                      <w:sz w:val="21"/>
                      <w:szCs w:val="21"/>
                    </w:rPr>
                    <w:t>（</w:t>
                  </w:r>
                  <w:r>
                    <w:rPr>
                      <w:rFonts w:ascii="Times New Roman" w:hAnsi="Times New Roman" w:eastAsia="Times New Roman" w:cs="Times New Roman"/>
                      <w:b w:val="0"/>
                      <w:bCs w:val="0"/>
                      <w:color w:val="auto"/>
                      <w:spacing w:val="-3"/>
                      <w:sz w:val="21"/>
                      <w:szCs w:val="21"/>
                    </w:rPr>
                    <w:t>t/a</w:t>
                  </w:r>
                  <w:r>
                    <w:rPr>
                      <w:rFonts w:ascii="宋体" w:hAnsi="宋体" w:eastAsia="宋体" w:cs="宋体"/>
                      <w:b w:val="0"/>
                      <w:bCs w:val="0"/>
                      <w:color w:val="auto"/>
                      <w:spacing w:val="-3"/>
                      <w:sz w:val="21"/>
                      <w:szCs w:val="21"/>
                    </w:rPr>
                    <w:t>）</w:t>
                  </w: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 w:val="0"/>
                      <w:bCs w:val="0"/>
                      <w:color w:val="auto"/>
                      <w:sz w:val="21"/>
                      <w:szCs w:val="21"/>
                      <w:vertAlign w:val="baseline"/>
                      <w:lang w:val="en-US" w:eastAsia="zh-CN"/>
                    </w:rPr>
                  </w:pPr>
                  <w:r>
                    <w:rPr>
                      <w:rFonts w:ascii="宋体" w:hAnsi="宋体" w:eastAsia="宋体" w:cs="宋体"/>
                      <w:b w:val="0"/>
                      <w:bCs w:val="0"/>
                      <w:color w:val="auto"/>
                      <w:spacing w:val="-2"/>
                      <w:sz w:val="21"/>
                      <w:szCs w:val="21"/>
                    </w:rPr>
                    <w:t>产生环节</w:t>
                  </w:r>
                </w:p>
              </w:tc>
              <w:tc>
                <w:tcPr>
                  <w:tcW w:w="742"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 w:val="0"/>
                      <w:bCs w:val="0"/>
                      <w:color w:val="auto"/>
                      <w:sz w:val="21"/>
                      <w:szCs w:val="21"/>
                      <w:vertAlign w:val="baseline"/>
                      <w:lang w:val="en-US" w:eastAsia="zh-CN"/>
                    </w:rPr>
                  </w:pPr>
                  <w:r>
                    <w:rPr>
                      <w:rFonts w:ascii="宋体" w:hAnsi="宋体" w:eastAsia="宋体" w:cs="宋体"/>
                      <w:b w:val="0"/>
                      <w:bCs w:val="0"/>
                      <w:color w:val="auto"/>
                      <w:spacing w:val="-2"/>
                      <w:sz w:val="21"/>
                      <w:szCs w:val="21"/>
                    </w:rPr>
                    <w:t>主要成份</w:t>
                  </w:r>
                </w:p>
              </w:tc>
              <w:tc>
                <w:tcPr>
                  <w:tcW w:w="12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color w:val="auto"/>
                      <w:sz w:val="21"/>
                      <w:szCs w:val="21"/>
                      <w:vertAlign w:val="baseline"/>
                      <w:lang w:val="en-US" w:eastAsia="zh-CN"/>
                    </w:rPr>
                  </w:pPr>
                  <w:r>
                    <w:rPr>
                      <w:rFonts w:ascii="宋体" w:hAnsi="宋体" w:eastAsia="宋体" w:cs="宋体"/>
                      <w:b w:val="0"/>
                      <w:bCs w:val="0"/>
                      <w:color w:val="auto"/>
                      <w:spacing w:val="-3"/>
                      <w:sz w:val="21"/>
                      <w:szCs w:val="21"/>
                    </w:rPr>
                    <w:t>处理处置</w:t>
                  </w:r>
                  <w:r>
                    <w:rPr>
                      <w:rFonts w:ascii="宋体" w:hAnsi="宋体" w:eastAsia="宋体" w:cs="宋体"/>
                      <w:b w:val="0"/>
                      <w:bCs w:val="0"/>
                      <w:color w:val="auto"/>
                      <w:sz w:val="21"/>
                      <w:szCs w:val="21"/>
                    </w:rPr>
                    <w:t xml:space="preserve"> </w:t>
                  </w:r>
                  <w:r>
                    <w:rPr>
                      <w:rFonts w:ascii="宋体" w:hAnsi="宋体" w:eastAsia="宋体" w:cs="宋体"/>
                      <w:b w:val="0"/>
                      <w:bCs w:val="0"/>
                      <w:color w:val="auto"/>
                      <w:spacing w:val="-2"/>
                      <w:sz w:val="21"/>
                      <w:szCs w:val="21"/>
                    </w:rPr>
                    <w:t>方式</w:t>
                  </w:r>
                </w:p>
              </w:tc>
              <w:tc>
                <w:tcPr>
                  <w:tcW w:w="995"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color w:val="0000FF"/>
                      <w:sz w:val="21"/>
                      <w:szCs w:val="21"/>
                      <w:vertAlign w:val="baseline"/>
                      <w:lang w:val="en-US" w:eastAsia="zh-CN"/>
                    </w:rPr>
                  </w:pPr>
                  <w:r>
                    <w:rPr>
                      <w:rFonts w:ascii="宋体" w:hAnsi="宋体" w:eastAsia="宋体" w:cs="宋体"/>
                      <w:b w:val="0"/>
                      <w:bCs w:val="0"/>
                      <w:spacing w:val="-3"/>
                      <w:sz w:val="21"/>
                      <w:szCs w:val="21"/>
                    </w:rPr>
                    <w:t>处理量</w:t>
                  </w:r>
                  <w:r>
                    <w:rPr>
                      <w:rFonts w:ascii="宋体" w:hAnsi="宋体" w:eastAsia="宋体" w:cs="宋体"/>
                      <w:b w:val="0"/>
                      <w:bCs w:val="0"/>
                      <w:sz w:val="21"/>
                      <w:szCs w:val="21"/>
                    </w:rPr>
                    <w:t xml:space="preserve"> </w:t>
                  </w:r>
                  <w:r>
                    <w:rPr>
                      <w:rFonts w:ascii="宋体" w:hAnsi="宋体" w:eastAsia="宋体" w:cs="宋体"/>
                      <w:b w:val="0"/>
                      <w:bCs w:val="0"/>
                      <w:spacing w:val="-3"/>
                      <w:sz w:val="21"/>
                      <w:szCs w:val="21"/>
                    </w:rPr>
                    <w:t>（</w:t>
                  </w:r>
                  <w:r>
                    <w:rPr>
                      <w:rFonts w:ascii="Times New Roman" w:hAnsi="Times New Roman" w:eastAsia="Times New Roman" w:cs="Times New Roman"/>
                      <w:b w:val="0"/>
                      <w:bCs w:val="0"/>
                      <w:spacing w:val="-3"/>
                      <w:sz w:val="21"/>
                      <w:szCs w:val="21"/>
                    </w:rPr>
                    <w:t>t/a</w:t>
                  </w:r>
                  <w:r>
                    <w:rPr>
                      <w:rFonts w:ascii="宋体" w:hAnsi="宋体" w:eastAsia="宋体" w:cs="宋体"/>
                      <w:b w:val="0"/>
                      <w:bCs w:val="0"/>
                      <w:spacing w:val="-3"/>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 w:val="0"/>
                      <w:bCs w:val="0"/>
                      <w:color w:val="0000FF"/>
                      <w:sz w:val="21"/>
                      <w:szCs w:val="21"/>
                      <w:vertAlign w:val="baseline"/>
                      <w:lang w:val="en-US" w:eastAsia="zh-CN"/>
                    </w:rPr>
                  </w:pPr>
                  <w:r>
                    <w:rPr>
                      <w:rFonts w:ascii="Times New Roman" w:hAnsi="Times New Roman" w:eastAsia="Times New Roman" w:cs="Times New Roman"/>
                      <w:b w:val="0"/>
                      <w:bCs w:val="0"/>
                      <w:sz w:val="21"/>
                      <w:szCs w:val="21"/>
                    </w:rPr>
                    <w:t>1</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 w:val="0"/>
                      <w:bCs w:val="0"/>
                      <w:color w:val="0000FF"/>
                      <w:sz w:val="21"/>
                      <w:szCs w:val="21"/>
                      <w:vertAlign w:val="baseline"/>
                      <w:lang w:val="en-US" w:eastAsia="zh-CN"/>
                    </w:rPr>
                  </w:pPr>
                  <w:r>
                    <w:rPr>
                      <w:rFonts w:ascii="宋体" w:hAnsi="宋体" w:eastAsia="宋体" w:cs="宋体"/>
                      <w:b w:val="0"/>
                      <w:bCs w:val="0"/>
                      <w:spacing w:val="-2"/>
                      <w:sz w:val="21"/>
                      <w:szCs w:val="21"/>
                    </w:rPr>
                    <w:t>生活垃圾</w:t>
                  </w:r>
                </w:p>
              </w:tc>
              <w:tc>
                <w:tcPr>
                  <w:tcW w:w="111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 w:val="0"/>
                      <w:bCs w:val="0"/>
                      <w:color w:val="auto"/>
                      <w:sz w:val="21"/>
                      <w:szCs w:val="21"/>
                      <w:vertAlign w:val="baseline"/>
                      <w:lang w:val="en-US" w:eastAsia="zh-CN"/>
                    </w:rPr>
                  </w:pPr>
                  <w:r>
                    <w:rPr>
                      <w:rFonts w:ascii="宋体" w:hAnsi="宋体" w:eastAsia="宋体" w:cs="宋体"/>
                      <w:b w:val="0"/>
                      <w:bCs w:val="0"/>
                      <w:color w:val="auto"/>
                      <w:spacing w:val="-2"/>
                      <w:sz w:val="21"/>
                      <w:szCs w:val="21"/>
                    </w:rPr>
                    <w:t>生活垃圾</w:t>
                  </w:r>
                </w:p>
              </w:tc>
              <w:tc>
                <w:tcPr>
                  <w:tcW w:w="83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eastAsia="宋体"/>
                      <w:b w:val="0"/>
                      <w:bCs w:val="0"/>
                      <w:color w:val="auto"/>
                      <w:sz w:val="21"/>
                      <w:szCs w:val="21"/>
                      <w:vertAlign w:val="baseline"/>
                      <w:lang w:val="en-US" w:eastAsia="zh-CN"/>
                    </w:rPr>
                  </w:pPr>
                  <w:r>
                    <w:rPr>
                      <w:rFonts w:hint="eastAsia" w:eastAsia="宋体" w:cs="Times New Roman"/>
                      <w:b w:val="0"/>
                      <w:bCs w:val="0"/>
                      <w:color w:val="auto"/>
                      <w:spacing w:val="-2"/>
                      <w:sz w:val="21"/>
                      <w:szCs w:val="21"/>
                      <w:lang w:val="en-US" w:eastAsia="zh-CN"/>
                    </w:rPr>
                    <w:t>1.95</w:t>
                  </w: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职工生活</w:t>
                  </w: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塑料袋等</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环卫部门 清运</w:t>
                  </w:r>
                </w:p>
              </w:tc>
              <w:tc>
                <w:tcPr>
                  <w:tcW w:w="9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eastAsia="宋体"/>
                      <w:b w:val="0"/>
                      <w:bCs w:val="0"/>
                      <w:color w:val="0000FF"/>
                      <w:sz w:val="21"/>
                      <w:szCs w:val="21"/>
                      <w:vertAlign w:val="baseline"/>
                      <w:lang w:val="en-US" w:eastAsia="zh-CN"/>
                    </w:rPr>
                  </w:pPr>
                  <w:r>
                    <w:rPr>
                      <w:rFonts w:hint="eastAsia" w:eastAsia="宋体" w:cs="Times New Roman"/>
                      <w:b w:val="0"/>
                      <w:bCs w:val="0"/>
                      <w:spacing w:val="-2"/>
                      <w:sz w:val="21"/>
                      <w:szCs w:val="21"/>
                      <w:lang w:val="en-US" w:eastAsia="zh-CN"/>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eastAsia="宋体"/>
                      <w:b w:val="0"/>
                      <w:bCs w:val="0"/>
                      <w:color w:val="0000FF"/>
                      <w:sz w:val="21"/>
                      <w:szCs w:val="21"/>
                      <w:vertAlign w:val="baseline"/>
                      <w:lang w:val="en-US" w:eastAsia="zh-CN"/>
                    </w:rPr>
                  </w:pPr>
                  <w:r>
                    <w:rPr>
                      <w:rFonts w:hint="eastAsia" w:eastAsia="宋体" w:cs="Times New Roman"/>
                      <w:b w:val="0"/>
                      <w:bCs w:val="0"/>
                      <w:sz w:val="21"/>
                      <w:szCs w:val="21"/>
                      <w:lang w:val="en-US" w:eastAsia="zh-CN"/>
                    </w:rPr>
                    <w:t>2</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 w:val="0"/>
                      <w:bCs w:val="0"/>
                      <w:color w:val="0000FF"/>
                      <w:sz w:val="21"/>
                      <w:szCs w:val="21"/>
                      <w:vertAlign w:val="baseline"/>
                      <w:lang w:val="en-US" w:eastAsia="zh-CN"/>
                    </w:rPr>
                  </w:pPr>
                  <w:r>
                    <w:rPr>
                      <w:rFonts w:ascii="宋体" w:hAnsi="宋体" w:eastAsia="宋体" w:cs="宋体"/>
                      <w:b w:val="0"/>
                      <w:bCs w:val="0"/>
                      <w:spacing w:val="-2"/>
                      <w:sz w:val="21"/>
                      <w:szCs w:val="21"/>
                    </w:rPr>
                    <w:t>废砂</w:t>
                  </w:r>
                </w:p>
              </w:tc>
              <w:tc>
                <w:tcPr>
                  <w:tcW w:w="11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一般工业固废</w:t>
                  </w:r>
                </w:p>
              </w:tc>
              <w:tc>
                <w:tcPr>
                  <w:tcW w:w="83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eastAsia="宋体"/>
                      <w:b w:val="0"/>
                      <w:bCs w:val="0"/>
                      <w:color w:val="auto"/>
                      <w:sz w:val="21"/>
                      <w:szCs w:val="21"/>
                      <w:vertAlign w:val="baseline"/>
                      <w:lang w:val="en-US" w:eastAsia="zh-CN"/>
                    </w:rPr>
                  </w:pPr>
                  <w:r>
                    <w:rPr>
                      <w:rFonts w:hint="eastAsia" w:eastAsia="宋体" w:cs="Times New Roman"/>
                      <w:b w:val="0"/>
                      <w:bCs w:val="0"/>
                      <w:color w:val="auto"/>
                      <w:sz w:val="21"/>
                      <w:szCs w:val="21"/>
                      <w:lang w:val="en-US" w:eastAsia="zh-CN"/>
                    </w:rPr>
                    <w:t>200</w:t>
                  </w: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砂处理</w:t>
                  </w: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二氧化硅</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外售给建材公司</w:t>
                  </w:r>
                </w:p>
              </w:tc>
              <w:tc>
                <w:tcPr>
                  <w:tcW w:w="9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eastAsia="宋体"/>
                      <w:b w:val="0"/>
                      <w:bCs w:val="0"/>
                      <w:color w:val="0000FF"/>
                      <w:sz w:val="21"/>
                      <w:szCs w:val="21"/>
                      <w:vertAlign w:val="baseline"/>
                      <w:lang w:val="en-US" w:eastAsia="zh-CN"/>
                    </w:rPr>
                  </w:pPr>
                  <w:r>
                    <w:rPr>
                      <w:rFonts w:hint="eastAsia" w:eastAsia="宋体" w:cs="Times New Roman"/>
                      <w:b w:val="0"/>
                      <w:bCs w:val="0"/>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Times New Roman"/>
                      <w:b w:val="0"/>
                      <w:bCs w:val="0"/>
                      <w:sz w:val="21"/>
                      <w:szCs w:val="21"/>
                      <w:lang w:val="en-US" w:eastAsia="zh-CN"/>
                    </w:rPr>
                  </w:pPr>
                  <w:r>
                    <w:rPr>
                      <w:rFonts w:hint="eastAsia" w:eastAsia="宋体" w:cs="Times New Roman"/>
                      <w:b w:val="0"/>
                      <w:bCs w:val="0"/>
                      <w:sz w:val="21"/>
                      <w:szCs w:val="21"/>
                      <w:lang w:val="en-US" w:eastAsia="zh-CN"/>
                    </w:rPr>
                    <w:t>3</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ascii="宋体" w:hAnsi="宋体" w:eastAsia="宋体" w:cs="宋体"/>
                      <w:b w:val="0"/>
                      <w:bCs w:val="0"/>
                      <w:spacing w:val="-2"/>
                      <w:sz w:val="21"/>
                      <w:szCs w:val="21"/>
                    </w:rPr>
                  </w:pPr>
                  <w:r>
                    <w:rPr>
                      <w:rFonts w:hint="eastAsia"/>
                      <w:b w:val="0"/>
                      <w:bCs w:val="0"/>
                      <w:color w:val="auto"/>
                      <w:lang w:eastAsia="zh-CN"/>
                    </w:rPr>
                    <w:t>废钢丸</w:t>
                  </w:r>
                  <w:r>
                    <w:rPr>
                      <w:rFonts w:hint="eastAsia"/>
                      <w:b w:val="0"/>
                      <w:bCs w:val="0"/>
                      <w:color w:val="auto"/>
                      <w:lang w:val="en-US" w:eastAsia="zh-CN"/>
                    </w:rPr>
                    <w:t>及抛丸清理渣</w:t>
                  </w:r>
                </w:p>
              </w:tc>
              <w:tc>
                <w:tcPr>
                  <w:tcW w:w="11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b w:val="0"/>
                      <w:bCs w:val="0"/>
                      <w:color w:val="auto"/>
                      <w:sz w:val="21"/>
                      <w:szCs w:val="21"/>
                      <w:lang w:val="en-US" w:eastAsia="zh-CN"/>
                    </w:rPr>
                  </w:pPr>
                </w:p>
              </w:tc>
              <w:tc>
                <w:tcPr>
                  <w:tcW w:w="83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4.75</w:t>
                  </w: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抛丸</w:t>
                  </w: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钢</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外售资源 回收公司</w:t>
                  </w:r>
                </w:p>
              </w:tc>
              <w:tc>
                <w:tcPr>
                  <w:tcW w:w="9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ascii="Times New Roman" w:hAnsi="Times New Roman" w:eastAsia="Times New Roman" w:cs="Times New Roman"/>
                      <w:b w:val="0"/>
                      <w:bCs w:val="0"/>
                      <w:sz w:val="21"/>
                      <w:szCs w:val="21"/>
                    </w:rPr>
                  </w:pPr>
                  <w:r>
                    <w:rPr>
                      <w:rFonts w:hint="eastAsia" w:eastAsia="宋体" w:cs="Times New Roman"/>
                      <w:b w:val="0"/>
                      <w:bCs w:val="0"/>
                      <w:color w:val="auto"/>
                      <w:sz w:val="21"/>
                      <w:szCs w:val="21"/>
                      <w:lang w:val="en-US" w:eastAsia="zh-CN"/>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Times New Roman"/>
                      <w:b w:val="0"/>
                      <w:bCs w:val="0"/>
                      <w:sz w:val="21"/>
                      <w:szCs w:val="21"/>
                      <w:lang w:val="en-US" w:eastAsia="zh-CN"/>
                    </w:rPr>
                  </w:pPr>
                  <w:r>
                    <w:rPr>
                      <w:rFonts w:hint="eastAsia" w:eastAsia="宋体" w:cs="Times New Roman"/>
                      <w:b w:val="0"/>
                      <w:bCs w:val="0"/>
                      <w:sz w:val="21"/>
                      <w:szCs w:val="21"/>
                      <w:lang w:val="en-US" w:eastAsia="zh-CN"/>
                    </w:rPr>
                    <w:t>4</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宋体" w:hAnsi="宋体" w:eastAsia="宋体" w:cs="宋体"/>
                      <w:b w:val="0"/>
                      <w:bCs w:val="0"/>
                      <w:spacing w:val="-2"/>
                      <w:sz w:val="21"/>
                      <w:szCs w:val="21"/>
                      <w:lang w:val="en-US" w:eastAsia="zh-CN"/>
                    </w:rPr>
                  </w:pPr>
                  <w:r>
                    <w:rPr>
                      <w:rFonts w:hint="eastAsia" w:ascii="宋体" w:hAnsi="宋体" w:cs="宋体"/>
                      <w:b w:val="0"/>
                      <w:bCs w:val="0"/>
                      <w:spacing w:val="-2"/>
                      <w:sz w:val="21"/>
                      <w:szCs w:val="21"/>
                      <w:lang w:val="en-US" w:eastAsia="zh-CN"/>
                    </w:rPr>
                    <w:t>炉渣</w:t>
                  </w:r>
                </w:p>
              </w:tc>
              <w:tc>
                <w:tcPr>
                  <w:tcW w:w="11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ascii="Times New Roman" w:hAnsi="Times New Roman" w:eastAsia="Times New Roman" w:cs="Times New Roman"/>
                      <w:b w:val="0"/>
                      <w:bCs w:val="0"/>
                      <w:sz w:val="21"/>
                      <w:szCs w:val="21"/>
                    </w:rPr>
                  </w:pPr>
                </w:p>
              </w:tc>
              <w:tc>
                <w:tcPr>
                  <w:tcW w:w="83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b w:val="0"/>
                      <w:bCs w:val="0"/>
                      <w:sz w:val="21"/>
                      <w:szCs w:val="21"/>
                      <w:lang w:val="en-US" w:eastAsia="zh-CN"/>
                    </w:rPr>
                  </w:pPr>
                  <w:r>
                    <w:rPr>
                      <w:rFonts w:hint="eastAsia" w:eastAsia="宋体" w:cs="Times New Roman"/>
                      <w:b w:val="0"/>
                      <w:bCs w:val="0"/>
                      <w:sz w:val="21"/>
                      <w:szCs w:val="21"/>
                      <w:lang w:val="en-US" w:eastAsia="zh-CN"/>
                    </w:rPr>
                    <w:t>95</w:t>
                  </w: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熔炼</w:t>
                  </w: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铁渣</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外售资源 回收公司</w:t>
                  </w:r>
                </w:p>
              </w:tc>
              <w:tc>
                <w:tcPr>
                  <w:tcW w:w="9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b w:val="0"/>
                      <w:bCs w:val="0"/>
                      <w:sz w:val="21"/>
                      <w:szCs w:val="21"/>
                      <w:lang w:val="en-US" w:eastAsia="zh-CN"/>
                    </w:rPr>
                  </w:pPr>
                  <w:r>
                    <w:rPr>
                      <w:rFonts w:hint="eastAsia" w:eastAsia="宋体" w:cs="Times New Roman"/>
                      <w:b w:val="0"/>
                      <w:bCs w:val="0"/>
                      <w:sz w:val="21"/>
                      <w:szCs w:val="21"/>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Times New Roman"/>
                      <w:b w:val="0"/>
                      <w:bCs w:val="0"/>
                      <w:sz w:val="21"/>
                      <w:szCs w:val="21"/>
                      <w:lang w:val="en-US" w:eastAsia="zh-CN"/>
                    </w:rPr>
                  </w:pPr>
                  <w:r>
                    <w:rPr>
                      <w:rFonts w:hint="eastAsia" w:eastAsia="宋体" w:cs="Times New Roman"/>
                      <w:b w:val="0"/>
                      <w:bCs w:val="0"/>
                      <w:sz w:val="21"/>
                      <w:szCs w:val="21"/>
                      <w:lang w:val="en-US" w:eastAsia="zh-CN"/>
                    </w:rPr>
                    <w:t>5</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ascii="宋体" w:hAnsi="宋体" w:eastAsia="宋体" w:cs="宋体"/>
                      <w:b w:val="0"/>
                      <w:bCs w:val="0"/>
                      <w:spacing w:val="-2"/>
                      <w:sz w:val="21"/>
                      <w:szCs w:val="21"/>
                    </w:rPr>
                  </w:pPr>
                  <w:r>
                    <w:rPr>
                      <w:rFonts w:hint="eastAsia"/>
                      <w:b w:val="0"/>
                      <w:bCs w:val="0"/>
                      <w:color w:val="auto"/>
                      <w:lang w:eastAsia="zh-CN"/>
                    </w:rPr>
                    <w:t>废包装材料</w:t>
                  </w:r>
                </w:p>
              </w:tc>
              <w:tc>
                <w:tcPr>
                  <w:tcW w:w="11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ascii="Times New Roman" w:hAnsi="Times New Roman" w:eastAsia="Times New Roman" w:cs="Times New Roman"/>
                      <w:b w:val="0"/>
                      <w:bCs w:val="0"/>
                      <w:sz w:val="21"/>
                      <w:szCs w:val="21"/>
                    </w:rPr>
                  </w:pPr>
                </w:p>
              </w:tc>
              <w:tc>
                <w:tcPr>
                  <w:tcW w:w="83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Times New Roman"/>
                      <w:b w:val="0"/>
                      <w:bCs w:val="0"/>
                      <w:sz w:val="21"/>
                      <w:szCs w:val="21"/>
                      <w:lang w:val="en-US" w:eastAsia="zh-CN"/>
                    </w:rPr>
                  </w:pPr>
                  <w:r>
                    <w:rPr>
                      <w:rFonts w:hint="eastAsia" w:eastAsia="宋体" w:cs="Times New Roman"/>
                      <w:b w:val="0"/>
                      <w:bCs w:val="0"/>
                      <w:sz w:val="21"/>
                      <w:szCs w:val="21"/>
                      <w:lang w:val="en-US" w:eastAsia="zh-CN"/>
                    </w:rPr>
                    <w:t>1</w:t>
                  </w: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原料区</w:t>
                  </w: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纸、塑料</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外售资源 回收公司</w:t>
                  </w:r>
                </w:p>
              </w:tc>
              <w:tc>
                <w:tcPr>
                  <w:tcW w:w="9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Times New Roman"/>
                      <w:b w:val="0"/>
                      <w:bCs w:val="0"/>
                      <w:sz w:val="21"/>
                      <w:szCs w:val="21"/>
                      <w:lang w:val="en-US" w:eastAsia="zh-CN"/>
                    </w:rPr>
                  </w:pPr>
                  <w:r>
                    <w:rPr>
                      <w:rFonts w:hint="eastAsia" w:eastAsia="宋体" w:cs="Times New Roman"/>
                      <w:b w:val="0"/>
                      <w:bCs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Times New Roman"/>
                      <w:b w:val="0"/>
                      <w:bCs w:val="0"/>
                      <w:sz w:val="21"/>
                      <w:szCs w:val="21"/>
                      <w:lang w:val="en-US" w:eastAsia="zh-CN"/>
                    </w:rPr>
                  </w:pPr>
                  <w:r>
                    <w:rPr>
                      <w:rFonts w:hint="eastAsia" w:eastAsia="宋体" w:cs="Times New Roman"/>
                      <w:b w:val="0"/>
                      <w:bCs w:val="0"/>
                      <w:sz w:val="21"/>
                      <w:szCs w:val="21"/>
                      <w:lang w:val="en-US" w:eastAsia="zh-CN"/>
                    </w:rPr>
                    <w:t>6</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 w:val="0"/>
                      <w:bCs w:val="0"/>
                      <w:color w:val="auto"/>
                      <w:lang w:val="en-US" w:eastAsia="zh-CN"/>
                    </w:rPr>
                  </w:pPr>
                  <w:r>
                    <w:rPr>
                      <w:rFonts w:hint="eastAsia"/>
                      <w:b w:val="0"/>
                      <w:bCs w:val="0"/>
                      <w:color w:val="auto"/>
                      <w:lang w:val="en-US" w:eastAsia="zh-CN"/>
                    </w:rPr>
                    <w:t>除尘器集尘</w:t>
                  </w:r>
                </w:p>
              </w:tc>
              <w:tc>
                <w:tcPr>
                  <w:tcW w:w="11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ascii="Times New Roman" w:hAnsi="Times New Roman" w:eastAsia="Times New Roman" w:cs="Times New Roman"/>
                      <w:b w:val="0"/>
                      <w:bCs w:val="0"/>
                      <w:sz w:val="21"/>
                      <w:szCs w:val="21"/>
                    </w:rPr>
                  </w:pPr>
                </w:p>
              </w:tc>
              <w:tc>
                <w:tcPr>
                  <w:tcW w:w="83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eastAsia="宋体" w:cs="Times New Roman"/>
                      <w:b w:val="0"/>
                      <w:bCs w:val="0"/>
                      <w:sz w:val="21"/>
                      <w:szCs w:val="21"/>
                      <w:lang w:val="en-US" w:eastAsia="zh-CN"/>
                    </w:rPr>
                  </w:pPr>
                  <w:r>
                    <w:rPr>
                      <w:rFonts w:hint="eastAsia" w:cs="Times New Roman"/>
                      <w:b w:val="0"/>
                      <w:bCs w:val="0"/>
                      <w:sz w:val="21"/>
                      <w:szCs w:val="21"/>
                      <w:lang w:val="en-US" w:eastAsia="zh-CN"/>
                    </w:rPr>
                    <w:t>36.12</w:t>
                  </w: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布袋除尘器</w:t>
                  </w: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铁</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外售资源 回收公司</w:t>
                  </w:r>
                </w:p>
              </w:tc>
              <w:tc>
                <w:tcPr>
                  <w:tcW w:w="9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eastAsia="宋体" w:cs="Times New Roman"/>
                      <w:b w:val="0"/>
                      <w:bCs w:val="0"/>
                      <w:sz w:val="21"/>
                      <w:szCs w:val="21"/>
                      <w:lang w:val="en-US" w:eastAsia="zh-CN"/>
                    </w:rPr>
                  </w:pPr>
                  <w:r>
                    <w:rPr>
                      <w:rFonts w:hint="eastAsia" w:cs="Times New Roman"/>
                      <w:b w:val="0"/>
                      <w:bCs w:val="0"/>
                      <w:sz w:val="21"/>
                      <w:szCs w:val="21"/>
                      <w:lang w:val="en-US" w:eastAsia="zh-CN"/>
                    </w:rPr>
                    <w:t>36.12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Times New Roman"/>
                      <w:b w:val="0"/>
                      <w:bCs w:val="0"/>
                      <w:sz w:val="21"/>
                      <w:szCs w:val="21"/>
                      <w:lang w:val="en-US" w:eastAsia="zh-CN"/>
                    </w:rPr>
                  </w:pPr>
                  <w:r>
                    <w:rPr>
                      <w:rFonts w:hint="eastAsia" w:eastAsia="宋体" w:cs="Times New Roman"/>
                      <w:b w:val="0"/>
                      <w:bCs w:val="0"/>
                      <w:sz w:val="21"/>
                      <w:szCs w:val="21"/>
                      <w:lang w:val="en-US" w:eastAsia="zh-CN"/>
                    </w:rPr>
                    <w:t>7</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b w:val="0"/>
                      <w:bCs w:val="0"/>
                      <w:color w:val="auto"/>
                      <w:lang w:val="en-US" w:eastAsia="zh-CN"/>
                    </w:rPr>
                  </w:pPr>
                  <w:r>
                    <w:rPr>
                      <w:rFonts w:hint="eastAsia"/>
                      <w:b w:val="0"/>
                      <w:bCs w:val="0"/>
                      <w:color w:val="auto"/>
                      <w:lang w:val="en-US" w:eastAsia="zh-CN"/>
                    </w:rPr>
                    <w:t>三乙胺净化废水</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b w:val="0"/>
                      <w:bCs w:val="0"/>
                      <w:color w:val="auto"/>
                      <w:lang w:eastAsia="zh-CN"/>
                    </w:rPr>
                  </w:pPr>
                </w:p>
              </w:tc>
              <w:tc>
                <w:tcPr>
                  <w:tcW w:w="1114" w:type="dxa"/>
                  <w:vAlign w:val="center"/>
                </w:tcPr>
                <w:p>
                  <w:pPr>
                    <w:spacing w:before="196" w:line="187" w:lineRule="auto"/>
                    <w:rPr>
                      <w:rFonts w:hint="eastAsia"/>
                      <w:b w:val="0"/>
                      <w:bCs w:val="0"/>
                      <w:color w:val="auto"/>
                      <w:lang w:eastAsia="zh-CN"/>
                    </w:rPr>
                  </w:pPr>
                  <w:r>
                    <w:rPr>
                      <w:rFonts w:hint="eastAsia" w:ascii="Times New Roman" w:hAnsi="Times New Roman" w:eastAsia="宋体" w:cs="Times New Roman"/>
                      <w:b w:val="0"/>
                      <w:bCs w:val="0"/>
                      <w:spacing w:val="-1"/>
                      <w:sz w:val="21"/>
                      <w:szCs w:val="21"/>
                      <w:lang w:val="en-US" w:eastAsia="zh-CN"/>
                    </w:rPr>
                    <w:t>危险废物</w:t>
                  </w:r>
                  <w:r>
                    <w:rPr>
                      <w:rFonts w:ascii="Times New Roman" w:hAnsi="Times New Roman" w:eastAsia="Times New Roman" w:cs="Times New Roman"/>
                      <w:b w:val="0"/>
                      <w:bCs w:val="0"/>
                      <w:spacing w:val="-1"/>
                      <w:sz w:val="21"/>
                      <w:szCs w:val="21"/>
                    </w:rPr>
                    <w:t>900-047-49</w:t>
                  </w:r>
                </w:p>
              </w:tc>
              <w:tc>
                <w:tcPr>
                  <w:tcW w:w="83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 w:val="0"/>
                      <w:bCs w:val="0"/>
                      <w:color w:val="auto"/>
                      <w:lang w:val="en-US" w:eastAsia="zh-CN"/>
                    </w:rPr>
                  </w:pPr>
                  <w:r>
                    <w:rPr>
                      <w:rFonts w:hint="eastAsia"/>
                      <w:b w:val="0"/>
                      <w:bCs w:val="0"/>
                      <w:color w:val="auto"/>
                      <w:lang w:val="en-US" w:eastAsia="zh-CN"/>
                    </w:rPr>
                    <w:t>12</w:t>
                  </w:r>
                </w:p>
              </w:tc>
              <w:tc>
                <w:tcPr>
                  <w:tcW w:w="114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三乙胺废气治理</w:t>
                  </w: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三乙胺磷 酸盐</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收集后暂</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存于危险</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废物暂存</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间，定期</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委托有资</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宋体" w:hAnsi="宋体" w:cs="宋体"/>
                      <w:b w:val="0"/>
                      <w:bCs w:val="0"/>
                      <w:spacing w:val="0"/>
                      <w:sz w:val="21"/>
                      <w:szCs w:val="21"/>
                      <w:lang w:val="en-US" w:eastAsia="zh-CN"/>
                    </w:rPr>
                  </w:pPr>
                  <w:r>
                    <w:rPr>
                      <w:rFonts w:hint="eastAsia" w:ascii="宋体" w:hAnsi="宋体" w:cs="宋体"/>
                      <w:b w:val="0"/>
                      <w:bCs w:val="0"/>
                      <w:spacing w:val="0"/>
                      <w:sz w:val="21"/>
                      <w:szCs w:val="21"/>
                      <w:lang w:val="en-US" w:eastAsia="zh-CN"/>
                    </w:rPr>
                    <w:t>质单位处置</w:t>
                  </w:r>
                </w:p>
              </w:tc>
              <w:tc>
                <w:tcPr>
                  <w:tcW w:w="9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 w:val="0"/>
                      <w:bCs w:val="0"/>
                      <w:color w:val="auto"/>
                      <w:lang w:val="en-US" w:eastAsia="zh-CN"/>
                    </w:rPr>
                  </w:pPr>
                  <w:r>
                    <w:rPr>
                      <w:rFonts w:hint="eastAsia"/>
                      <w:b w:val="0"/>
                      <w:bCs w:val="0"/>
                      <w:color w:val="auto"/>
                      <w:lang w:val="en-US" w:eastAsia="zh-CN"/>
                    </w:rPr>
                    <w:t>12</w:t>
                  </w:r>
                </w:p>
              </w:tc>
            </w:tr>
          </w:tbl>
          <w:p>
            <w:pPr>
              <w:pStyle w:val="72"/>
              <w:bidi w:val="0"/>
              <w:rPr>
                <w:rFonts w:hint="eastAsia"/>
                <w:b/>
                <w:bCs/>
                <w:lang w:eastAsia="zh-CN"/>
              </w:rPr>
            </w:pPr>
            <w:r>
              <w:rPr>
                <w:rFonts w:hint="eastAsia"/>
                <w:b/>
                <w:bCs/>
                <w:lang w:val="en-US" w:eastAsia="zh-CN"/>
              </w:rPr>
              <w:t>4.2固体废物</w:t>
            </w:r>
            <w:r>
              <w:rPr>
                <w:rFonts w:hint="eastAsia"/>
                <w:b/>
                <w:bCs/>
                <w:lang w:eastAsia="zh-CN"/>
              </w:rPr>
              <w:t>环境管理要求</w:t>
            </w:r>
          </w:p>
          <w:p>
            <w:pPr>
              <w:pStyle w:val="72"/>
              <w:bidi w:val="0"/>
              <w:rPr>
                <w:rFonts w:hint="eastAsia"/>
                <w:b/>
                <w:bCs/>
                <w:lang w:val="en-US" w:eastAsia="zh-CN"/>
              </w:rPr>
            </w:pPr>
            <w:r>
              <w:rPr>
                <w:rFonts w:hint="eastAsia"/>
                <w:b/>
                <w:bCs/>
                <w:lang w:val="en-US" w:eastAsia="zh-CN"/>
              </w:rPr>
              <w:t>（1）危险废物规划范化建设要求</w:t>
            </w:r>
          </w:p>
          <w:p>
            <w:pPr>
              <w:pStyle w:val="41"/>
              <w:keepNext w:val="0"/>
              <w:keepLines w:val="0"/>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按照《危险废物识别标志设置技术规范》（GB1276-2022）的规定，做好危险废物标签、危险废物贮存区标志和危险废物贮存设施标志的设置。危险废物贮存设施标志可以采取附着式， 设置高度， 应尽量与视线高度一致； 柱式的标志和支架应牢固地联接在一起， 标志牌最上端距地面约 2 m示意图如下：</w:t>
            </w:r>
          </w:p>
          <w:p>
            <w:pPr>
              <w:spacing w:before="205" w:line="2990" w:lineRule="exact"/>
            </w:pPr>
            <w:r>
              <w:rPr>
                <w:position w:val="-59"/>
              </w:rPr>
              <w:drawing>
                <wp:inline distT="0" distB="0" distL="0" distR="0">
                  <wp:extent cx="5010785" cy="1898650"/>
                  <wp:effectExtent l="0" t="0" r="18415" b="635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6"/>
                          <a:stretch>
                            <a:fillRect/>
                          </a:stretch>
                        </pic:blipFill>
                        <pic:spPr>
                          <a:xfrm>
                            <a:off x="0" y="0"/>
                            <a:ext cx="5010911" cy="1898903"/>
                          </a:xfrm>
                          <a:prstGeom prst="rect">
                            <a:avLst/>
                          </a:prstGeom>
                        </pic:spPr>
                      </pic:pic>
                    </a:graphicData>
                  </a:graphic>
                </wp:inline>
              </w:drawing>
            </w:r>
          </w:p>
          <w:p>
            <w:pPr>
              <w:spacing w:before="220" w:line="220" w:lineRule="auto"/>
              <w:ind w:left="2224"/>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14:textOutline w14:w="4356" w14:cap="flat" w14:cmpd="sng">
                  <w14:solidFill>
                    <w14:srgbClr w14:val="000000"/>
                  </w14:solidFill>
                  <w14:prstDash w14:val="solid"/>
                  <w14:miter w14:val="0"/>
                </w14:textOutline>
              </w:rPr>
              <w:t>图</w:t>
            </w:r>
            <w:r>
              <w:rPr>
                <w:rFonts w:hint="default" w:ascii="Times New Roman" w:hAnsi="Times New Roman" w:eastAsia="宋体" w:cs="Times New Roman"/>
                <w:spacing w:val="-42"/>
                <w:sz w:val="24"/>
                <w:szCs w:val="24"/>
              </w:rPr>
              <w:t xml:space="preserve"> </w:t>
            </w:r>
            <w:r>
              <w:rPr>
                <w:rFonts w:hint="default" w:ascii="Times New Roman" w:hAnsi="Times New Roman" w:eastAsia="宋体" w:cs="Times New Roman"/>
                <w:b/>
                <w:bCs/>
                <w:spacing w:val="-3"/>
                <w:sz w:val="24"/>
                <w:szCs w:val="24"/>
              </w:rPr>
              <w:t>4-</w:t>
            </w:r>
            <w:r>
              <w:rPr>
                <w:rFonts w:hint="default" w:ascii="Times New Roman" w:hAnsi="Times New Roman" w:eastAsia="宋体" w:cs="Times New Roman"/>
                <w:b/>
                <w:bCs/>
                <w:spacing w:val="-3"/>
                <w:sz w:val="24"/>
                <w:szCs w:val="24"/>
                <w:lang w:val="en-US" w:eastAsia="zh-CN"/>
              </w:rPr>
              <w:t>2</w:t>
            </w:r>
            <w:r>
              <w:rPr>
                <w:rFonts w:hint="default" w:ascii="Times New Roman" w:hAnsi="Times New Roman" w:eastAsia="宋体" w:cs="Times New Roman"/>
                <w:b/>
                <w:bCs/>
                <w:spacing w:val="9"/>
                <w:sz w:val="24"/>
                <w:szCs w:val="24"/>
              </w:rPr>
              <w:t xml:space="preserve">   </w:t>
            </w:r>
            <w:r>
              <w:rPr>
                <w:rFonts w:hint="default" w:ascii="Times New Roman" w:hAnsi="Times New Roman" w:eastAsia="宋体" w:cs="Times New Roman"/>
                <w:spacing w:val="-3"/>
                <w:sz w:val="24"/>
                <w:szCs w:val="24"/>
                <w14:textOutline w14:w="4356" w14:cap="flat" w14:cmpd="sng">
                  <w14:solidFill>
                    <w14:srgbClr w14:val="000000"/>
                  </w14:solidFill>
                  <w14:prstDash w14:val="solid"/>
                  <w14:miter w14:val="0"/>
                </w14:textOutline>
              </w:rPr>
              <w:t>危险废物贮存设施标志示意图</w:t>
            </w:r>
          </w:p>
          <w:p>
            <w:pPr>
              <w:pStyle w:val="41"/>
              <w:keepNext w:val="0"/>
              <w:keepLines w:val="0"/>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危险废物贮存区标志牌背景色应采用黄色， RGB 颜色值为（255, 255, 0）。 废物种类信息应采用醒目的橘黄色，RGB  颜色值为（255,150, 0）。字体颜色为 黑色， RGB 颜色值为（0,0,0）。图形和文字应清晰、完整， 保证在足够的观察距离条件下不影响阅读。</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危险废物贮存分区标志</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字样与其他信息宜加黑色分界线区分，分界线的宽度不小于 2mm。危险废物贮存分区标志宜设置在该贮存分区前的通道位置或墙壁、栏杆等易于观察的位置，标志牌示意图如下。</w:t>
            </w:r>
          </w:p>
          <w:p>
            <w:pPr>
              <w:spacing w:before="148" w:line="3168" w:lineRule="exact"/>
            </w:pPr>
            <w:r>
              <w:rPr>
                <w:position w:val="-63"/>
              </w:rPr>
              <w:drawing>
                <wp:inline distT="0" distB="0" distL="0" distR="0">
                  <wp:extent cx="5182870" cy="2011045"/>
                  <wp:effectExtent l="0" t="0" r="17780" b="8255"/>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7"/>
                          <a:stretch>
                            <a:fillRect/>
                          </a:stretch>
                        </pic:blipFill>
                        <pic:spPr>
                          <a:xfrm>
                            <a:off x="0" y="0"/>
                            <a:ext cx="5183123" cy="2011679"/>
                          </a:xfrm>
                          <a:prstGeom prst="rect">
                            <a:avLst/>
                          </a:prstGeom>
                        </pic:spPr>
                      </pic:pic>
                    </a:graphicData>
                  </a:graphic>
                </wp:inline>
              </w:drawing>
            </w:r>
          </w:p>
          <w:p>
            <w:pPr>
              <w:spacing w:before="166" w:line="22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14:textOutline w14:w="4356" w14:cap="flat" w14:cmpd="sng">
                  <w14:solidFill>
                    <w14:srgbClr w14:val="000000"/>
                  </w14:solidFill>
                  <w14:prstDash w14:val="solid"/>
                  <w14:miter w14:val="0"/>
                </w14:textOutline>
              </w:rPr>
              <w:t>图</w:t>
            </w:r>
            <w:r>
              <w:rPr>
                <w:rFonts w:hint="default" w:ascii="Times New Roman" w:hAnsi="Times New Roman" w:eastAsia="宋体" w:cs="Times New Roman"/>
                <w:spacing w:val="-47"/>
                <w:sz w:val="24"/>
                <w:szCs w:val="24"/>
              </w:rPr>
              <w:t xml:space="preserve"> </w:t>
            </w:r>
            <w:r>
              <w:rPr>
                <w:rFonts w:hint="default" w:ascii="Times New Roman" w:hAnsi="Times New Roman" w:eastAsia="宋体" w:cs="Times New Roman"/>
                <w:b/>
                <w:bCs/>
                <w:spacing w:val="-3"/>
                <w:sz w:val="24"/>
                <w:szCs w:val="24"/>
              </w:rPr>
              <w:t>4-</w:t>
            </w:r>
            <w:r>
              <w:rPr>
                <w:rFonts w:hint="default" w:ascii="Times New Roman" w:hAnsi="Times New Roman" w:eastAsia="宋体" w:cs="Times New Roman"/>
                <w:b/>
                <w:bCs/>
                <w:spacing w:val="-3"/>
                <w:sz w:val="24"/>
                <w:szCs w:val="24"/>
                <w:lang w:val="en-US" w:eastAsia="zh-CN"/>
              </w:rPr>
              <w:t>3</w:t>
            </w:r>
            <w:r>
              <w:rPr>
                <w:rFonts w:hint="default" w:ascii="Times New Roman" w:hAnsi="Times New Roman" w:eastAsia="宋体" w:cs="Times New Roman"/>
                <w:b/>
                <w:bCs/>
                <w:spacing w:val="9"/>
                <w:sz w:val="24"/>
                <w:szCs w:val="24"/>
              </w:rPr>
              <w:t xml:space="preserve">    </w:t>
            </w:r>
            <w:r>
              <w:rPr>
                <w:rFonts w:hint="default" w:ascii="Times New Roman" w:hAnsi="Times New Roman" w:eastAsia="宋体" w:cs="Times New Roman"/>
                <w:spacing w:val="-3"/>
                <w:sz w:val="24"/>
                <w:szCs w:val="24"/>
                <w14:textOutline w14:w="4356" w14:cap="flat" w14:cmpd="sng">
                  <w14:solidFill>
                    <w14:srgbClr w14:val="000000"/>
                  </w14:solidFill>
                  <w14:prstDash w14:val="solid"/>
                  <w14:miter w14:val="0"/>
                </w14:textOutline>
              </w:rPr>
              <w:t>危险废物贮存区标志示意图</w:t>
            </w:r>
          </w:p>
          <w:p>
            <w:pPr>
              <w:pStyle w:val="41"/>
              <w:keepNext w:val="0"/>
              <w:keepLines w:val="0"/>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危险废物标志设置位置应明显可见且易读，不应被容器、包装物自身的任何部分或其他标签遮挡。对箱类包装危险废物的其标签应置于包装端面或侧面； 袋类包装危险废物的其标签应置于包装明显处； 桶类包装危险废物的其标签应置于桶身或桶盖；其他包装危险废物的其标签应置于明显处。</w:t>
            </w:r>
          </w:p>
          <w:p>
            <w:pPr>
              <w:spacing w:before="148" w:line="3455" w:lineRule="exact"/>
            </w:pPr>
            <w:r>
              <w:rPr>
                <w:position w:val="-69"/>
              </w:rPr>
              <w:drawing>
                <wp:inline distT="0" distB="0" distL="0" distR="0">
                  <wp:extent cx="4948555" cy="2193290"/>
                  <wp:effectExtent l="0" t="0" r="4445" b="1651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8"/>
                          <a:stretch>
                            <a:fillRect/>
                          </a:stretch>
                        </pic:blipFill>
                        <pic:spPr>
                          <a:xfrm>
                            <a:off x="0" y="0"/>
                            <a:ext cx="4948794" cy="2193618"/>
                          </a:xfrm>
                          <a:prstGeom prst="rect">
                            <a:avLst/>
                          </a:prstGeom>
                        </pic:spPr>
                      </pic:pic>
                    </a:graphicData>
                  </a:graphic>
                </wp:inline>
              </w:drawing>
            </w:r>
          </w:p>
          <w:p>
            <w:pPr>
              <w:spacing w:before="150" w:line="220" w:lineRule="auto"/>
              <w:ind w:left="2522"/>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14:textOutline w14:w="4356" w14:cap="flat" w14:cmpd="sng">
                  <w14:solidFill>
                    <w14:srgbClr w14:val="000000"/>
                  </w14:solidFill>
                  <w14:prstDash w14:val="solid"/>
                  <w14:miter w14:val="0"/>
                </w14:textOutline>
              </w:rPr>
              <w:t>图</w:t>
            </w:r>
            <w:r>
              <w:rPr>
                <w:rFonts w:hint="default" w:ascii="Times New Roman" w:hAnsi="Times New Roman" w:eastAsia="宋体" w:cs="Times New Roman"/>
                <w:spacing w:val="-50"/>
                <w:sz w:val="24"/>
                <w:szCs w:val="24"/>
              </w:rPr>
              <w:t xml:space="preserve"> </w:t>
            </w:r>
            <w:r>
              <w:rPr>
                <w:rFonts w:hint="default" w:ascii="Times New Roman" w:hAnsi="Times New Roman" w:eastAsia="宋体" w:cs="Times New Roman"/>
                <w:b/>
                <w:bCs/>
                <w:spacing w:val="-3"/>
                <w:sz w:val="24"/>
                <w:szCs w:val="24"/>
              </w:rPr>
              <w:t>4-</w:t>
            </w:r>
            <w:r>
              <w:rPr>
                <w:rFonts w:hint="default" w:ascii="Times New Roman" w:hAnsi="Times New Roman" w:eastAsia="宋体" w:cs="Times New Roman"/>
                <w:b/>
                <w:bCs/>
                <w:spacing w:val="-3"/>
                <w:sz w:val="24"/>
                <w:szCs w:val="24"/>
                <w:lang w:val="en-US" w:eastAsia="zh-CN"/>
              </w:rPr>
              <w:t>4</w:t>
            </w:r>
            <w:r>
              <w:rPr>
                <w:rFonts w:hint="default" w:ascii="Times New Roman" w:hAnsi="Times New Roman" w:eastAsia="宋体" w:cs="Times New Roman"/>
                <w:b/>
                <w:bCs/>
                <w:spacing w:val="9"/>
                <w:sz w:val="24"/>
                <w:szCs w:val="24"/>
              </w:rPr>
              <w:t xml:space="preserve">    </w:t>
            </w:r>
            <w:r>
              <w:rPr>
                <w:rFonts w:hint="default" w:ascii="Times New Roman" w:hAnsi="Times New Roman" w:eastAsia="宋体" w:cs="Times New Roman"/>
                <w:spacing w:val="-3"/>
                <w:sz w:val="24"/>
                <w:szCs w:val="24"/>
                <w14:textOutline w14:w="4356" w14:cap="flat" w14:cmpd="sng">
                  <w14:solidFill>
                    <w14:srgbClr w14:val="000000"/>
                  </w14:solidFill>
                  <w14:prstDash w14:val="solid"/>
                  <w14:miter w14:val="0"/>
                </w14:textOutline>
              </w:rPr>
              <w:t>危险废物标志设置示意图</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② 制度危险废物环境管理制度， 落实管理责任人、专人负责“安徽省固体信息管理系统”的填报工作， 做好危险废物台账记录， 台账保留三年作为档案备查。做好危险废物管理台账的记录</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③ 加强贮存场所的定期巡查工作， 发现储存容器有破损时，应及时采取措施清理更换。</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④ 危险废物转移前</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应签订委托处置合同</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由危废处理公司负责运输和处理，禁止私自处置。</w:t>
            </w:r>
          </w:p>
          <w:p>
            <w:pPr>
              <w:pStyle w:val="72"/>
              <w:bidi w:val="0"/>
              <w:rPr>
                <w:rFonts w:hint="eastAsia"/>
                <w:b/>
                <w:bCs/>
                <w:lang w:val="en-US" w:eastAsia="zh-CN"/>
              </w:rPr>
            </w:pPr>
            <w:r>
              <w:rPr>
                <w:rFonts w:hint="eastAsia"/>
                <w:b/>
                <w:bCs/>
                <w:lang w:val="en-US" w:eastAsia="zh-CN"/>
              </w:rPr>
              <w:t>（2）一般固体废物管理要求</w:t>
            </w:r>
          </w:p>
          <w:p>
            <w:pPr>
              <w:pStyle w:val="72"/>
              <w:bidi w:val="0"/>
              <w:rPr>
                <w:rFonts w:hint="eastAsia"/>
                <w:lang w:val="en-US" w:eastAsia="zh-CN"/>
              </w:rPr>
            </w:pPr>
            <w:r>
              <w:rPr>
                <w:rFonts w:hint="eastAsia"/>
                <w:lang w:val="en-US" w:eastAsia="zh-CN"/>
              </w:rPr>
              <w:t>本项目运营期产生的一般固体废物收集、暂存应严格按照《一般工业固体废物贮存和填埋污染控制标准》（GB18599-2020）中要求进行设计、施工，做到防渗漏、防雨淋、防扬散等。同时，做好一般固体废物在厂区内的收集和储存相关防护工作，并定期处置。严禁一般工业固体废物与危险废物相互混入。建立完善的规章制度，以杜绝固体废物的散落、遗失事故。</w:t>
            </w:r>
          </w:p>
          <w:p>
            <w:pPr>
              <w:pStyle w:val="72"/>
              <w:bidi w:val="0"/>
              <w:rPr>
                <w:rFonts w:hint="eastAsia"/>
                <w:b/>
                <w:bCs/>
                <w:lang w:val="en-US" w:eastAsia="zh-CN"/>
              </w:rPr>
            </w:pPr>
            <w:r>
              <w:rPr>
                <w:rFonts w:hint="eastAsia"/>
                <w:b/>
                <w:bCs/>
                <w:lang w:val="en-US" w:eastAsia="zh-CN"/>
              </w:rPr>
              <w:t>5 地下水、土壤</w:t>
            </w:r>
          </w:p>
          <w:p>
            <w:pPr>
              <w:pStyle w:val="72"/>
              <w:bidi w:val="0"/>
              <w:rPr>
                <w:rFonts w:hint="eastAsia" w:eastAsia="宋体"/>
                <w:b/>
                <w:bCs/>
                <w:lang w:eastAsia="zh-CN"/>
              </w:rPr>
            </w:pPr>
            <w:r>
              <w:rPr>
                <w:rFonts w:hint="eastAsia"/>
                <w:b/>
                <w:bCs/>
                <w:lang w:val="en-US" w:eastAsia="zh-CN"/>
              </w:rPr>
              <w:t>5.1</w:t>
            </w:r>
            <w:r>
              <w:rPr>
                <w:rFonts w:hint="eastAsia"/>
                <w:b/>
                <w:bCs/>
                <w:lang w:eastAsia="zh-CN"/>
              </w:rPr>
              <w:t>污染源、污染物类型和污染途径</w:t>
            </w:r>
          </w:p>
          <w:p>
            <w:pPr>
              <w:pStyle w:val="72"/>
              <w:bidi w:val="0"/>
              <w:rPr>
                <w:rFonts w:hint="eastAsia"/>
                <w:lang w:eastAsia="zh-CN"/>
              </w:rPr>
            </w:pPr>
            <w:r>
              <w:rPr>
                <w:rFonts w:hint="default"/>
              </w:rPr>
              <w:t>本项目属于污染影响类项目，不涉及土壤盐化、碱化、酸化等影响。结合企业原辅材料使用、贮存情况，本项目对地下水、土壤可能造成影响的污染源主要是</w:t>
            </w:r>
            <w:r>
              <w:rPr>
                <w:rFonts w:hint="eastAsia"/>
                <w:lang w:val="en-US" w:eastAsia="zh-CN"/>
              </w:rPr>
              <w:t>辅料区</w:t>
            </w:r>
            <w:r>
              <w:rPr>
                <w:rFonts w:hint="eastAsia"/>
                <w:lang w:eastAsia="zh-CN"/>
              </w:rPr>
              <w:t>、危险废物暂存库</w:t>
            </w:r>
            <w:r>
              <w:rPr>
                <w:rFonts w:hint="default"/>
              </w:rPr>
              <w:t>等区域</w:t>
            </w:r>
            <w:r>
              <w:rPr>
                <w:rFonts w:hint="eastAsia"/>
                <w:lang w:eastAsia="zh-CN"/>
              </w:rPr>
              <w:t>。</w:t>
            </w:r>
          </w:p>
          <w:p>
            <w:pPr>
              <w:pStyle w:val="72"/>
              <w:bidi w:val="0"/>
              <w:rPr>
                <w:rFonts w:hint="default"/>
                <w:lang w:val="en-US" w:eastAsia="zh-CN"/>
              </w:rPr>
            </w:pPr>
            <w:r>
              <w:rPr>
                <w:rFonts w:hint="eastAsia"/>
                <w:lang w:eastAsia="zh-CN"/>
              </w:rPr>
              <w:t>在正常工况下，液体辅料盛装于密封的包装</w:t>
            </w:r>
            <w:r>
              <w:rPr>
                <w:rFonts w:hint="eastAsia"/>
                <w:lang w:val="en-US" w:eastAsia="zh-CN"/>
              </w:rPr>
              <w:t>桶中，液体危险废物收纳于密闭的包装桶中，厂区做好防渗措施，危险物质不会出现泄露，不会对土壤和地下水环境造成污染。</w:t>
            </w:r>
          </w:p>
          <w:p>
            <w:pPr>
              <w:pStyle w:val="72"/>
              <w:bidi w:val="0"/>
              <w:rPr>
                <w:rFonts w:hint="default"/>
              </w:rPr>
            </w:pPr>
            <w:r>
              <w:rPr>
                <w:rFonts w:hint="eastAsia"/>
                <w:lang w:eastAsia="zh-CN"/>
              </w:rPr>
              <w:t>在事故状况下，液体物料或危险废物发生泄漏，在没有防控措施的情况下，泄漏的有害物质会对场地的</w:t>
            </w:r>
            <w:r>
              <w:rPr>
                <w:rFonts w:hint="default"/>
              </w:rPr>
              <w:t>土壤</w:t>
            </w:r>
            <w:r>
              <w:rPr>
                <w:rFonts w:hint="eastAsia"/>
                <w:lang w:eastAsia="zh-CN"/>
              </w:rPr>
              <w:t>和地下水环境造成影响，</w:t>
            </w:r>
            <w:r>
              <w:rPr>
                <w:rFonts w:hint="default"/>
              </w:rPr>
              <w:t>主要</w:t>
            </w:r>
            <w:r>
              <w:rPr>
                <w:rFonts w:hint="eastAsia"/>
                <w:lang w:eastAsia="zh-CN"/>
              </w:rPr>
              <w:t>的</w:t>
            </w:r>
            <w:r>
              <w:rPr>
                <w:rFonts w:hint="default"/>
              </w:rPr>
              <w:t>污染途径</w:t>
            </w:r>
            <w:r>
              <w:rPr>
                <w:rFonts w:hint="eastAsia"/>
                <w:lang w:eastAsia="zh-CN"/>
              </w:rPr>
              <w:t>为：垂直入渗</w:t>
            </w:r>
            <w:r>
              <w:rPr>
                <w:rFonts w:hint="default"/>
              </w:rPr>
              <w:t>。</w:t>
            </w:r>
          </w:p>
          <w:p>
            <w:pPr>
              <w:pStyle w:val="72"/>
              <w:bidi w:val="0"/>
              <w:rPr>
                <w:rFonts w:hint="eastAsia" w:eastAsia="宋体"/>
                <w:b/>
                <w:bCs/>
                <w:lang w:eastAsia="zh-CN"/>
              </w:rPr>
            </w:pPr>
            <w:r>
              <w:rPr>
                <w:rFonts w:hint="eastAsia"/>
                <w:b/>
                <w:bCs/>
                <w:lang w:val="en-US" w:eastAsia="zh-CN"/>
              </w:rPr>
              <w:t>5.2</w:t>
            </w:r>
            <w:r>
              <w:rPr>
                <w:rFonts w:hint="eastAsia"/>
                <w:b/>
                <w:bCs/>
                <w:lang w:eastAsia="zh-CN"/>
              </w:rPr>
              <w:t>防治措施</w:t>
            </w:r>
          </w:p>
          <w:p>
            <w:pPr>
              <w:pStyle w:val="72"/>
              <w:bidi w:val="0"/>
              <w:rPr>
                <w:rFonts w:hint="default"/>
              </w:rPr>
            </w:pPr>
            <w:r>
              <w:rPr>
                <w:rFonts w:hint="default"/>
              </w:rPr>
              <w:t>本项目地下水</w:t>
            </w:r>
            <w:r>
              <w:rPr>
                <w:rFonts w:hint="eastAsia"/>
                <w:lang w:eastAsia="zh-CN"/>
              </w:rPr>
              <w:t>、</w:t>
            </w:r>
            <w:r>
              <w:rPr>
                <w:rFonts w:hint="default"/>
              </w:rPr>
              <w:t>土壤污染</w:t>
            </w:r>
            <w:r>
              <w:rPr>
                <w:rFonts w:hint="eastAsia"/>
                <w:lang w:eastAsia="zh-CN"/>
              </w:rPr>
              <w:t>防控采取“</w:t>
            </w:r>
            <w:r>
              <w:rPr>
                <w:rFonts w:hint="default"/>
              </w:rPr>
              <w:t>源头控制、分区</w:t>
            </w:r>
            <w:r>
              <w:rPr>
                <w:rFonts w:hint="eastAsia"/>
                <w:lang w:eastAsia="zh-CN"/>
              </w:rPr>
              <w:t>防渗”</w:t>
            </w:r>
            <w:r>
              <w:rPr>
                <w:rFonts w:hint="default"/>
              </w:rPr>
              <w:t>，</w:t>
            </w:r>
            <w:r>
              <w:rPr>
                <w:rFonts w:hint="eastAsia"/>
                <w:lang w:eastAsia="zh-CN"/>
              </w:rPr>
              <w:t>具体</w:t>
            </w:r>
            <w:r>
              <w:rPr>
                <w:rFonts w:hint="default"/>
              </w:rPr>
              <w:t>如下：</w:t>
            </w:r>
          </w:p>
          <w:p>
            <w:pPr>
              <w:pStyle w:val="72"/>
              <w:numPr>
                <w:ilvl w:val="0"/>
                <w:numId w:val="4"/>
              </w:numPr>
              <w:bidi w:val="0"/>
              <w:rPr>
                <w:rFonts w:hint="default"/>
                <w:b/>
                <w:bCs/>
              </w:rPr>
            </w:pPr>
            <w:r>
              <w:rPr>
                <w:rFonts w:hint="default"/>
                <w:b/>
                <w:bCs/>
              </w:rPr>
              <w:t>源头控制</w:t>
            </w:r>
          </w:p>
          <w:p>
            <w:pPr>
              <w:pStyle w:val="72"/>
              <w:bidi w:val="0"/>
              <w:rPr>
                <w:rFonts w:hint="default"/>
              </w:rPr>
            </w:pPr>
            <w:r>
              <w:rPr>
                <w:rFonts w:hint="default"/>
              </w:rPr>
              <w:fldChar w:fldCharType="begin"/>
            </w:r>
            <w:r>
              <w:rPr>
                <w:rFonts w:hint="default"/>
              </w:rPr>
              <w:instrText xml:space="preserve"> = 1 \* GB3 \* MERGEFORMAT </w:instrText>
            </w:r>
            <w:r>
              <w:rPr>
                <w:rFonts w:hint="default"/>
              </w:rPr>
              <w:fldChar w:fldCharType="separate"/>
            </w:r>
            <w:r>
              <w:t>①</w:t>
            </w:r>
            <w:r>
              <w:rPr>
                <w:rFonts w:hint="default"/>
              </w:rPr>
              <w:fldChar w:fldCharType="end"/>
            </w:r>
            <w:r>
              <w:rPr>
                <w:rFonts w:hint="eastAsia"/>
                <w:lang w:eastAsia="zh-CN"/>
              </w:rPr>
              <w:t>液体</w:t>
            </w:r>
            <w:r>
              <w:rPr>
                <w:rFonts w:hint="default"/>
              </w:rPr>
              <w:t>辅料根据理化性质分类存放</w:t>
            </w:r>
            <w:r>
              <w:rPr>
                <w:rFonts w:hint="eastAsia"/>
                <w:lang w:eastAsia="zh-CN"/>
              </w:rPr>
              <w:t>，进厂入库前先检查其包装的完整性，对包装损坏的物料拒绝进厂</w:t>
            </w:r>
            <w:r>
              <w:rPr>
                <w:rFonts w:hint="default"/>
              </w:rPr>
              <w:t>。</w:t>
            </w:r>
          </w:p>
          <w:p>
            <w:pPr>
              <w:pStyle w:val="72"/>
              <w:bidi w:val="0"/>
              <w:rPr>
                <w:rFonts w:hint="eastAsia" w:eastAsia="宋体"/>
                <w:lang w:eastAsia="zh-CN"/>
              </w:rPr>
            </w:pPr>
            <w:r>
              <w:rPr>
                <w:rFonts w:hint="default"/>
              </w:rPr>
              <w:fldChar w:fldCharType="begin"/>
            </w:r>
            <w:r>
              <w:rPr>
                <w:rFonts w:hint="default"/>
              </w:rPr>
              <w:instrText xml:space="preserve"> = 2 \* GB3 \* MERGEFORMAT </w:instrText>
            </w:r>
            <w:r>
              <w:rPr>
                <w:rFonts w:hint="default"/>
              </w:rPr>
              <w:fldChar w:fldCharType="separate"/>
            </w:r>
            <w:r>
              <w:t>②</w:t>
            </w:r>
            <w:r>
              <w:rPr>
                <w:rFonts w:hint="default"/>
              </w:rPr>
              <w:fldChar w:fldCharType="end"/>
            </w:r>
            <w:r>
              <w:rPr>
                <w:rFonts w:hint="eastAsia"/>
                <w:lang w:eastAsia="zh-CN"/>
              </w:rPr>
              <w:t>针对液体辅料的使用和危险废物的收集与暂存制定相应的规章制度，并严格执行，降低泄漏环境风险事故的发生率。</w:t>
            </w:r>
          </w:p>
          <w:p>
            <w:pPr>
              <w:pStyle w:val="72"/>
              <w:bidi w:val="0"/>
              <w:rPr>
                <w:rFonts w:hint="default"/>
              </w:rPr>
            </w:pPr>
            <w:r>
              <w:rPr>
                <w:rFonts w:hint="default"/>
              </w:rPr>
              <w:fldChar w:fldCharType="begin"/>
            </w:r>
            <w:r>
              <w:rPr>
                <w:rFonts w:hint="default"/>
              </w:rPr>
              <w:instrText xml:space="preserve"> = 3 \* GB3 \* MERGEFORMAT </w:instrText>
            </w:r>
            <w:r>
              <w:rPr>
                <w:rFonts w:hint="default"/>
              </w:rPr>
              <w:fldChar w:fldCharType="separate"/>
            </w:r>
            <w:r>
              <w:t>③</w:t>
            </w:r>
            <w:r>
              <w:rPr>
                <w:rFonts w:hint="default"/>
              </w:rPr>
              <w:fldChar w:fldCharType="end"/>
            </w:r>
            <w:r>
              <w:rPr>
                <w:rFonts w:hint="eastAsia"/>
                <w:lang w:eastAsia="zh-CN"/>
              </w:rPr>
              <w:t>对</w:t>
            </w:r>
            <w:r>
              <w:rPr>
                <w:rFonts w:hint="default"/>
              </w:rPr>
              <w:t>设置防渗</w:t>
            </w:r>
            <w:r>
              <w:rPr>
                <w:rFonts w:hint="eastAsia"/>
                <w:lang w:eastAsia="zh-CN"/>
              </w:rPr>
              <w:t>措施的区域进行定期检查，确保防渗涂层</w:t>
            </w:r>
            <w:r>
              <w:rPr>
                <w:rFonts w:hint="eastAsia"/>
                <w:lang w:val="en-US" w:eastAsia="zh-CN"/>
              </w:rPr>
              <w:t>/设施的有效性</w:t>
            </w:r>
            <w:r>
              <w:rPr>
                <w:rFonts w:hint="default"/>
              </w:rPr>
              <w:t>，</w:t>
            </w:r>
            <w:r>
              <w:rPr>
                <w:rFonts w:hint="eastAsia"/>
                <w:lang w:eastAsia="zh-CN"/>
              </w:rPr>
              <w:t>对损坏处及时修复，保证防渗措施的有效性</w:t>
            </w:r>
            <w:r>
              <w:rPr>
                <w:rFonts w:hint="default"/>
              </w:rPr>
              <w:t>。</w:t>
            </w:r>
          </w:p>
          <w:p>
            <w:pPr>
              <w:pStyle w:val="72"/>
              <w:numPr>
                <w:ilvl w:val="0"/>
                <w:numId w:val="4"/>
              </w:numPr>
              <w:bidi w:val="0"/>
              <w:ind w:left="0" w:leftChars="0" w:firstLine="482" w:firstLineChars="200"/>
              <w:rPr>
                <w:rFonts w:hint="default"/>
                <w:b/>
                <w:bCs/>
              </w:rPr>
            </w:pPr>
            <w:r>
              <w:rPr>
                <w:rFonts w:hint="default"/>
                <w:b/>
                <w:bCs/>
              </w:rPr>
              <w:t>分区防渗</w:t>
            </w:r>
          </w:p>
          <w:p>
            <w:pPr>
              <w:pStyle w:val="72"/>
              <w:bidi w:val="0"/>
              <w:rPr>
                <w:rFonts w:hint="default"/>
              </w:rPr>
            </w:pPr>
            <w:r>
              <w:rPr>
                <w:rFonts w:hint="eastAsia"/>
                <w:lang w:eastAsia="zh-CN"/>
              </w:rPr>
              <w:t>根据</w:t>
            </w:r>
            <w:r>
              <w:rPr>
                <w:rFonts w:hint="default"/>
              </w:rPr>
              <w:t>项目</w:t>
            </w:r>
            <w:r>
              <w:rPr>
                <w:rFonts w:hint="eastAsia"/>
                <w:lang w:eastAsia="zh-CN"/>
              </w:rPr>
              <w:t>生产过程中</w:t>
            </w:r>
            <w:r>
              <w:rPr>
                <w:rFonts w:hint="default"/>
              </w:rPr>
              <w:t>对地下水</w:t>
            </w:r>
            <w:r>
              <w:rPr>
                <w:rFonts w:hint="eastAsia"/>
                <w:lang w:eastAsia="zh-CN"/>
              </w:rPr>
              <w:t>、土壤</w:t>
            </w:r>
            <w:r>
              <w:rPr>
                <w:rFonts w:hint="default"/>
              </w:rPr>
              <w:t>环境造成影响</w:t>
            </w:r>
            <w:r>
              <w:rPr>
                <w:rFonts w:hint="eastAsia"/>
                <w:lang w:eastAsia="zh-CN"/>
              </w:rPr>
              <w:t>的</w:t>
            </w:r>
            <w:r>
              <w:rPr>
                <w:rFonts w:hint="default"/>
              </w:rPr>
              <w:t>可能</w:t>
            </w:r>
            <w:r>
              <w:rPr>
                <w:rFonts w:hint="eastAsia"/>
                <w:lang w:eastAsia="zh-CN"/>
              </w:rPr>
              <w:t>性大小</w:t>
            </w:r>
            <w:r>
              <w:rPr>
                <w:rFonts w:hint="default"/>
              </w:rPr>
              <w:t>划分为重点防渗区和一般防渗区。</w:t>
            </w:r>
            <w:r>
              <w:rPr>
                <w:rFonts w:hint="eastAsia"/>
                <w:lang w:eastAsia="zh-CN"/>
              </w:rPr>
              <w:t>本项目</w:t>
            </w:r>
            <w:r>
              <w:rPr>
                <w:rFonts w:hint="default"/>
              </w:rPr>
              <w:t>重点防治区</w:t>
            </w:r>
            <w:r>
              <w:rPr>
                <w:rFonts w:hint="eastAsia"/>
                <w:lang w:eastAsia="zh-CN"/>
              </w:rPr>
              <w:t>包括</w:t>
            </w:r>
            <w:r>
              <w:rPr>
                <w:rFonts w:hint="eastAsia"/>
                <w:lang w:val="en-US" w:eastAsia="zh-CN"/>
              </w:rPr>
              <w:t>辅料库</w:t>
            </w:r>
            <w:r>
              <w:rPr>
                <w:rFonts w:hint="eastAsia"/>
                <w:lang w:eastAsia="zh-CN"/>
              </w:rPr>
              <w:t>、危险废物暂存库</w:t>
            </w:r>
            <w:r>
              <w:rPr>
                <w:rFonts w:hint="default"/>
              </w:rPr>
              <w:t>等</w:t>
            </w:r>
            <w:r>
              <w:rPr>
                <w:rFonts w:hint="eastAsia"/>
                <w:lang w:eastAsia="zh-CN"/>
              </w:rPr>
              <w:t>，</w:t>
            </w:r>
            <w:r>
              <w:rPr>
                <w:rFonts w:hint="default"/>
              </w:rPr>
              <w:t>采用“地面硬化+防渗涂料”的防渗措施，</w:t>
            </w:r>
            <w:r>
              <w:rPr>
                <w:rFonts w:hint="eastAsia" w:eastAsia="宋体"/>
                <w:lang w:eastAsia="zh-CN"/>
              </w:rPr>
              <w:t>等效黏土防渗层Mb≥6.0m，K≤1×10</w:t>
            </w:r>
            <w:r>
              <w:rPr>
                <w:rFonts w:hint="eastAsia" w:eastAsia="宋体"/>
                <w:vertAlign w:val="superscript"/>
                <w:lang w:eastAsia="zh-CN"/>
              </w:rPr>
              <w:t>-7</w:t>
            </w:r>
            <w:r>
              <w:rPr>
                <w:rFonts w:hint="default"/>
              </w:rPr>
              <w:t>。一般防渗区</w:t>
            </w:r>
            <w:r>
              <w:rPr>
                <w:rFonts w:hint="eastAsia"/>
                <w:lang w:eastAsia="zh-CN"/>
              </w:rPr>
              <w:t>为</w:t>
            </w:r>
            <w:r>
              <w:rPr>
                <w:rFonts w:hint="default"/>
              </w:rPr>
              <w:t>其余生产区</w:t>
            </w:r>
            <w:r>
              <w:rPr>
                <w:rFonts w:hint="eastAsia"/>
                <w:lang w:eastAsia="zh-CN"/>
              </w:rPr>
              <w:t>，</w:t>
            </w:r>
            <w:r>
              <w:rPr>
                <w:rFonts w:hint="eastAsia" w:eastAsia="宋体"/>
                <w:b w:val="0"/>
                <w:bCs w:val="0"/>
                <w:lang w:eastAsia="zh-CN"/>
              </w:rPr>
              <w:t>地面进行防</w:t>
            </w:r>
            <w:r>
              <w:rPr>
                <w:rFonts w:hint="eastAsia" w:eastAsia="宋体"/>
                <w:lang w:eastAsia="zh-CN"/>
              </w:rPr>
              <w:t>渗，防渗效果等效黏土防渗层Mb≥1.5m，K≤1×10</w:t>
            </w:r>
            <w:r>
              <w:rPr>
                <w:rFonts w:hint="eastAsia" w:eastAsia="宋体"/>
                <w:vertAlign w:val="superscript"/>
                <w:lang w:eastAsia="zh-CN"/>
              </w:rPr>
              <w:t>-7</w:t>
            </w:r>
            <w:r>
              <w:rPr>
                <w:rFonts w:hint="eastAsia" w:eastAsia="宋体"/>
                <w:lang w:eastAsia="zh-CN"/>
              </w:rPr>
              <w:t>。</w:t>
            </w:r>
          </w:p>
          <w:p>
            <w:pPr>
              <w:pStyle w:val="70"/>
              <w:bidi w:val="0"/>
              <w:rPr>
                <w:rFonts w:hint="default"/>
                <w:color w:val="auto"/>
              </w:rPr>
            </w:pPr>
            <w:r>
              <w:rPr>
                <w:rFonts w:hint="default"/>
                <w:color w:val="auto"/>
              </w:rPr>
              <w:t>表</w:t>
            </w:r>
            <w:r>
              <w:rPr>
                <w:rFonts w:hint="eastAsia"/>
                <w:color w:val="auto"/>
                <w:lang w:val="en-US" w:eastAsia="zh-CN"/>
              </w:rPr>
              <w:t>4-9</w:t>
            </w:r>
            <w:r>
              <w:rPr>
                <w:rFonts w:hint="default"/>
                <w:color w:val="auto"/>
              </w:rPr>
              <w:t xml:space="preserve"> 项目分区防渗方案一览表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6"/>
              <w:gridCol w:w="1229"/>
              <w:gridCol w:w="1853"/>
              <w:gridCol w:w="1278"/>
              <w:gridCol w:w="2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56" w:type="dxa"/>
                  <w:noWrap w:val="0"/>
                  <w:vAlign w:val="center"/>
                </w:tcPr>
                <w:p>
                  <w:pPr>
                    <w:pStyle w:val="39"/>
                    <w:bidi w:val="0"/>
                    <w:jc w:val="center"/>
                    <w:rPr>
                      <w:rFonts w:hint="eastAsia" w:eastAsia="宋体"/>
                      <w:color w:val="auto"/>
                      <w:sz w:val="21"/>
                      <w:szCs w:val="21"/>
                      <w:lang w:eastAsia="zh-CN"/>
                    </w:rPr>
                  </w:pPr>
                  <w:r>
                    <w:rPr>
                      <w:rFonts w:hint="eastAsia"/>
                      <w:color w:val="auto"/>
                      <w:sz w:val="21"/>
                      <w:szCs w:val="21"/>
                      <w:lang w:eastAsia="zh-CN"/>
                    </w:rPr>
                    <w:t>序号</w:t>
                  </w:r>
                </w:p>
              </w:tc>
              <w:tc>
                <w:tcPr>
                  <w:tcW w:w="1229" w:type="dxa"/>
                  <w:noWrap w:val="0"/>
                  <w:vAlign w:val="center"/>
                </w:tcPr>
                <w:p>
                  <w:pPr>
                    <w:pStyle w:val="39"/>
                    <w:bidi w:val="0"/>
                    <w:jc w:val="center"/>
                    <w:rPr>
                      <w:color w:val="auto"/>
                      <w:sz w:val="21"/>
                      <w:szCs w:val="21"/>
                    </w:rPr>
                  </w:pPr>
                  <w:r>
                    <w:rPr>
                      <w:color w:val="auto"/>
                      <w:sz w:val="21"/>
                      <w:szCs w:val="21"/>
                    </w:rPr>
                    <w:t>防治区划分</w:t>
                  </w:r>
                </w:p>
              </w:tc>
              <w:tc>
                <w:tcPr>
                  <w:tcW w:w="1853" w:type="dxa"/>
                  <w:noWrap w:val="0"/>
                  <w:vAlign w:val="center"/>
                </w:tcPr>
                <w:p>
                  <w:pPr>
                    <w:pStyle w:val="39"/>
                    <w:bidi w:val="0"/>
                    <w:jc w:val="center"/>
                    <w:rPr>
                      <w:color w:val="auto"/>
                      <w:sz w:val="21"/>
                      <w:szCs w:val="21"/>
                    </w:rPr>
                  </w:pPr>
                  <w:r>
                    <w:rPr>
                      <w:color w:val="auto"/>
                      <w:sz w:val="21"/>
                      <w:szCs w:val="21"/>
                    </w:rPr>
                    <w:t>装置或构筑物名称</w:t>
                  </w:r>
                </w:p>
              </w:tc>
              <w:tc>
                <w:tcPr>
                  <w:tcW w:w="1278" w:type="dxa"/>
                  <w:noWrap w:val="0"/>
                  <w:vAlign w:val="center"/>
                </w:tcPr>
                <w:p>
                  <w:pPr>
                    <w:pStyle w:val="39"/>
                    <w:bidi w:val="0"/>
                    <w:jc w:val="center"/>
                    <w:rPr>
                      <w:color w:val="auto"/>
                      <w:sz w:val="21"/>
                      <w:szCs w:val="21"/>
                    </w:rPr>
                  </w:pPr>
                  <w:r>
                    <w:rPr>
                      <w:color w:val="auto"/>
                      <w:sz w:val="21"/>
                      <w:szCs w:val="21"/>
                    </w:rPr>
                    <w:t>防渗区域</w:t>
                  </w:r>
                </w:p>
              </w:tc>
              <w:tc>
                <w:tcPr>
                  <w:tcW w:w="2920" w:type="dxa"/>
                  <w:noWrap w:val="0"/>
                  <w:vAlign w:val="center"/>
                </w:tcPr>
                <w:p>
                  <w:pPr>
                    <w:pStyle w:val="39"/>
                    <w:bidi w:val="0"/>
                    <w:jc w:val="center"/>
                    <w:rPr>
                      <w:color w:val="auto"/>
                      <w:sz w:val="21"/>
                      <w:szCs w:val="21"/>
                    </w:rPr>
                  </w:pPr>
                  <w:r>
                    <w:rPr>
                      <w:color w:val="auto"/>
                      <w:sz w:val="21"/>
                      <w:szCs w:val="21"/>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56" w:type="dxa"/>
                  <w:vMerge w:val="restart"/>
                  <w:noWrap w:val="0"/>
                  <w:vAlign w:val="center"/>
                </w:tcPr>
                <w:p>
                  <w:pPr>
                    <w:pStyle w:val="39"/>
                    <w:bidi w:val="0"/>
                    <w:jc w:val="center"/>
                    <w:rPr>
                      <w:color w:val="auto"/>
                      <w:sz w:val="21"/>
                      <w:szCs w:val="21"/>
                    </w:rPr>
                  </w:pPr>
                  <w:r>
                    <w:rPr>
                      <w:color w:val="auto"/>
                      <w:sz w:val="21"/>
                      <w:szCs w:val="21"/>
                    </w:rPr>
                    <w:t>1</w:t>
                  </w:r>
                </w:p>
              </w:tc>
              <w:tc>
                <w:tcPr>
                  <w:tcW w:w="1229" w:type="dxa"/>
                  <w:vMerge w:val="restart"/>
                  <w:noWrap w:val="0"/>
                  <w:vAlign w:val="center"/>
                </w:tcPr>
                <w:p>
                  <w:pPr>
                    <w:pStyle w:val="39"/>
                    <w:bidi w:val="0"/>
                    <w:jc w:val="center"/>
                    <w:rPr>
                      <w:rFonts w:hint="default" w:eastAsia="宋体"/>
                      <w:color w:val="auto"/>
                      <w:sz w:val="21"/>
                      <w:szCs w:val="21"/>
                      <w:lang w:val="en-US" w:eastAsia="zh-CN"/>
                    </w:rPr>
                  </w:pPr>
                  <w:r>
                    <w:rPr>
                      <w:color w:val="auto"/>
                      <w:sz w:val="21"/>
                      <w:szCs w:val="21"/>
                    </w:rPr>
                    <w:t>重点防治区</w:t>
                  </w:r>
                </w:p>
              </w:tc>
              <w:tc>
                <w:tcPr>
                  <w:tcW w:w="1853" w:type="dxa"/>
                  <w:noWrap w:val="0"/>
                  <w:vAlign w:val="center"/>
                </w:tcPr>
                <w:p>
                  <w:pPr>
                    <w:pStyle w:val="39"/>
                    <w:bidi w:val="0"/>
                    <w:jc w:val="center"/>
                    <w:rPr>
                      <w:rFonts w:hint="eastAsia" w:eastAsia="宋体"/>
                      <w:color w:val="auto"/>
                      <w:sz w:val="21"/>
                      <w:szCs w:val="21"/>
                      <w:lang w:eastAsia="zh-CN"/>
                    </w:rPr>
                  </w:pPr>
                  <w:r>
                    <w:rPr>
                      <w:rFonts w:hint="eastAsia"/>
                      <w:lang w:val="en-US" w:eastAsia="zh-CN"/>
                    </w:rPr>
                    <w:t>辅料库</w:t>
                  </w:r>
                </w:p>
              </w:tc>
              <w:tc>
                <w:tcPr>
                  <w:tcW w:w="1278" w:type="dxa"/>
                  <w:noWrap w:val="0"/>
                  <w:vAlign w:val="center"/>
                </w:tcPr>
                <w:p>
                  <w:pPr>
                    <w:pStyle w:val="39"/>
                    <w:bidi w:val="0"/>
                    <w:jc w:val="center"/>
                    <w:rPr>
                      <w:color w:val="auto"/>
                      <w:sz w:val="21"/>
                      <w:szCs w:val="21"/>
                    </w:rPr>
                  </w:pPr>
                  <w:r>
                    <w:rPr>
                      <w:color w:val="auto"/>
                      <w:sz w:val="21"/>
                      <w:szCs w:val="21"/>
                    </w:rPr>
                    <w:t>地面、裙角</w:t>
                  </w:r>
                </w:p>
              </w:tc>
              <w:tc>
                <w:tcPr>
                  <w:tcW w:w="2920" w:type="dxa"/>
                  <w:vMerge w:val="restart"/>
                  <w:noWrap w:val="0"/>
                  <w:vAlign w:val="center"/>
                </w:tcPr>
                <w:p>
                  <w:pPr>
                    <w:pStyle w:val="39"/>
                    <w:bidi w:val="0"/>
                    <w:jc w:val="center"/>
                    <w:rPr>
                      <w:rFonts w:hint="eastAsia" w:eastAsia="宋体"/>
                      <w:color w:val="auto"/>
                      <w:sz w:val="21"/>
                      <w:szCs w:val="21"/>
                      <w:lang w:eastAsia="zh-CN"/>
                    </w:rPr>
                  </w:pPr>
                  <w:r>
                    <w:rPr>
                      <w:rFonts w:hint="default"/>
                      <w:sz w:val="21"/>
                      <w:szCs w:val="21"/>
                    </w:rPr>
                    <w:t>采用</w:t>
                  </w:r>
                  <w:r>
                    <w:rPr>
                      <w:rFonts w:hint="eastAsia"/>
                      <w:sz w:val="21"/>
                      <w:szCs w:val="21"/>
                      <w:lang w:eastAsia="zh-CN"/>
                    </w:rPr>
                    <w:t>“</w:t>
                  </w:r>
                  <w:r>
                    <w:rPr>
                      <w:rFonts w:hint="default"/>
                      <w:sz w:val="21"/>
                      <w:szCs w:val="21"/>
                    </w:rPr>
                    <w:t>地面硬化+防渗涂料</w:t>
                  </w:r>
                  <w:r>
                    <w:rPr>
                      <w:rFonts w:hint="eastAsia"/>
                      <w:sz w:val="21"/>
                      <w:szCs w:val="21"/>
                      <w:lang w:eastAsia="zh-CN"/>
                    </w:rPr>
                    <w:t>”</w:t>
                  </w:r>
                  <w:r>
                    <w:rPr>
                      <w:rFonts w:hint="default"/>
                      <w:sz w:val="21"/>
                      <w:szCs w:val="21"/>
                    </w:rPr>
                    <w:t>的防渗措施</w:t>
                  </w:r>
                  <w:r>
                    <w:rPr>
                      <w:rFonts w:hint="eastAsia"/>
                      <w:sz w:val="21"/>
                      <w:szCs w:val="21"/>
                      <w:lang w:eastAsia="zh-CN"/>
                    </w:rPr>
                    <w:t>，</w:t>
                  </w:r>
                  <w:r>
                    <w:rPr>
                      <w:rFonts w:hint="eastAsia" w:eastAsia="宋体"/>
                      <w:lang w:eastAsia="zh-CN"/>
                    </w:rPr>
                    <w:t>等效黏土防渗层Mb≥6.0m，K≤1×10</w:t>
                  </w:r>
                  <w:r>
                    <w:rPr>
                      <w:rFonts w:hint="eastAsia" w:eastAsia="宋体"/>
                      <w:vertAlign w:val="superscript"/>
                      <w:lang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56" w:type="dxa"/>
                  <w:vMerge w:val="continue"/>
                  <w:noWrap w:val="0"/>
                  <w:vAlign w:val="center"/>
                </w:tcPr>
                <w:p>
                  <w:pPr>
                    <w:pStyle w:val="39"/>
                    <w:bidi w:val="0"/>
                    <w:jc w:val="center"/>
                    <w:rPr>
                      <w:color w:val="auto"/>
                      <w:sz w:val="21"/>
                      <w:szCs w:val="21"/>
                    </w:rPr>
                  </w:pPr>
                </w:p>
              </w:tc>
              <w:tc>
                <w:tcPr>
                  <w:tcW w:w="1229" w:type="dxa"/>
                  <w:vMerge w:val="continue"/>
                  <w:noWrap w:val="0"/>
                  <w:vAlign w:val="center"/>
                </w:tcPr>
                <w:p>
                  <w:pPr>
                    <w:pStyle w:val="39"/>
                    <w:bidi w:val="0"/>
                    <w:jc w:val="center"/>
                    <w:rPr>
                      <w:color w:val="auto"/>
                      <w:sz w:val="21"/>
                      <w:szCs w:val="21"/>
                    </w:rPr>
                  </w:pPr>
                </w:p>
              </w:tc>
              <w:tc>
                <w:tcPr>
                  <w:tcW w:w="1853" w:type="dxa"/>
                  <w:noWrap w:val="0"/>
                  <w:vAlign w:val="center"/>
                </w:tcPr>
                <w:p>
                  <w:pPr>
                    <w:pStyle w:val="39"/>
                    <w:bidi w:val="0"/>
                    <w:jc w:val="center"/>
                    <w:rPr>
                      <w:rFonts w:hint="eastAsia" w:eastAsia="宋体"/>
                      <w:color w:val="auto"/>
                      <w:sz w:val="21"/>
                      <w:szCs w:val="21"/>
                      <w:lang w:eastAsia="zh-CN"/>
                    </w:rPr>
                  </w:pPr>
                  <w:r>
                    <w:rPr>
                      <w:rFonts w:hint="eastAsia"/>
                      <w:lang w:eastAsia="zh-CN"/>
                    </w:rPr>
                    <w:t>危险废物暂存库</w:t>
                  </w:r>
                </w:p>
              </w:tc>
              <w:tc>
                <w:tcPr>
                  <w:tcW w:w="1278" w:type="dxa"/>
                  <w:noWrap w:val="0"/>
                  <w:vAlign w:val="center"/>
                </w:tcPr>
                <w:p>
                  <w:pPr>
                    <w:pStyle w:val="39"/>
                    <w:bidi w:val="0"/>
                    <w:jc w:val="center"/>
                    <w:rPr>
                      <w:color w:val="auto"/>
                      <w:sz w:val="21"/>
                      <w:szCs w:val="21"/>
                    </w:rPr>
                  </w:pPr>
                  <w:r>
                    <w:rPr>
                      <w:color w:val="auto"/>
                      <w:sz w:val="21"/>
                      <w:szCs w:val="21"/>
                    </w:rPr>
                    <w:t>地面、裙角</w:t>
                  </w:r>
                </w:p>
              </w:tc>
              <w:tc>
                <w:tcPr>
                  <w:tcW w:w="2920" w:type="dxa"/>
                  <w:vMerge w:val="continue"/>
                  <w:noWrap w:val="0"/>
                  <w:vAlign w:val="center"/>
                </w:tcPr>
                <w:p>
                  <w:pPr>
                    <w:pStyle w:val="39"/>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6" w:type="dxa"/>
                  <w:noWrap w:val="0"/>
                  <w:vAlign w:val="center"/>
                </w:tcPr>
                <w:p>
                  <w:pPr>
                    <w:pStyle w:val="39"/>
                    <w:bidi w:val="0"/>
                    <w:jc w:val="center"/>
                    <w:rPr>
                      <w:color w:val="auto"/>
                      <w:sz w:val="21"/>
                      <w:szCs w:val="21"/>
                    </w:rPr>
                  </w:pPr>
                  <w:r>
                    <w:rPr>
                      <w:color w:val="auto"/>
                      <w:sz w:val="21"/>
                      <w:szCs w:val="21"/>
                    </w:rPr>
                    <w:t>2</w:t>
                  </w:r>
                </w:p>
              </w:tc>
              <w:tc>
                <w:tcPr>
                  <w:tcW w:w="1229" w:type="dxa"/>
                  <w:noWrap w:val="0"/>
                  <w:vAlign w:val="center"/>
                </w:tcPr>
                <w:p>
                  <w:pPr>
                    <w:pStyle w:val="39"/>
                    <w:bidi w:val="0"/>
                    <w:jc w:val="center"/>
                    <w:rPr>
                      <w:color w:val="auto"/>
                      <w:sz w:val="21"/>
                      <w:szCs w:val="21"/>
                    </w:rPr>
                  </w:pPr>
                  <w:r>
                    <w:rPr>
                      <w:color w:val="auto"/>
                      <w:sz w:val="21"/>
                      <w:szCs w:val="21"/>
                    </w:rPr>
                    <w:t>一般防渗区</w:t>
                  </w:r>
                </w:p>
              </w:tc>
              <w:tc>
                <w:tcPr>
                  <w:tcW w:w="1853" w:type="dxa"/>
                  <w:noWrap w:val="0"/>
                  <w:vAlign w:val="center"/>
                </w:tcPr>
                <w:p>
                  <w:pPr>
                    <w:pStyle w:val="39"/>
                    <w:bidi w:val="0"/>
                    <w:jc w:val="center"/>
                    <w:rPr>
                      <w:color w:val="auto"/>
                      <w:sz w:val="21"/>
                      <w:szCs w:val="21"/>
                    </w:rPr>
                  </w:pPr>
                  <w:r>
                    <w:rPr>
                      <w:rFonts w:hint="eastAsia"/>
                      <w:color w:val="auto"/>
                      <w:sz w:val="21"/>
                      <w:szCs w:val="21"/>
                      <w:lang w:eastAsia="zh-CN"/>
                    </w:rPr>
                    <w:t>其他生产</w:t>
                  </w:r>
                  <w:r>
                    <w:rPr>
                      <w:color w:val="auto"/>
                      <w:sz w:val="21"/>
                      <w:szCs w:val="21"/>
                    </w:rPr>
                    <w:t>区域</w:t>
                  </w:r>
                </w:p>
              </w:tc>
              <w:tc>
                <w:tcPr>
                  <w:tcW w:w="1278" w:type="dxa"/>
                  <w:noWrap w:val="0"/>
                  <w:vAlign w:val="center"/>
                </w:tcPr>
                <w:p>
                  <w:pPr>
                    <w:pStyle w:val="39"/>
                    <w:bidi w:val="0"/>
                    <w:jc w:val="center"/>
                    <w:rPr>
                      <w:color w:val="auto"/>
                      <w:sz w:val="21"/>
                      <w:szCs w:val="21"/>
                    </w:rPr>
                  </w:pPr>
                  <w:r>
                    <w:rPr>
                      <w:color w:val="auto"/>
                      <w:sz w:val="21"/>
                      <w:szCs w:val="21"/>
                    </w:rPr>
                    <w:t>地面</w:t>
                  </w:r>
                </w:p>
              </w:tc>
              <w:tc>
                <w:tcPr>
                  <w:tcW w:w="2920" w:type="dxa"/>
                  <w:noWrap w:val="0"/>
                  <w:vAlign w:val="center"/>
                </w:tcPr>
                <w:p>
                  <w:pPr>
                    <w:pStyle w:val="39"/>
                    <w:bidi w:val="0"/>
                    <w:jc w:val="center"/>
                    <w:rPr>
                      <w:color w:val="auto"/>
                      <w:sz w:val="21"/>
                      <w:szCs w:val="21"/>
                    </w:rPr>
                  </w:pPr>
                  <w:r>
                    <w:rPr>
                      <w:rFonts w:hint="eastAsia" w:eastAsia="宋体"/>
                      <w:b w:val="0"/>
                      <w:bCs w:val="0"/>
                      <w:lang w:eastAsia="zh-CN"/>
                    </w:rPr>
                    <w:t>地面进行防</w:t>
                  </w:r>
                  <w:r>
                    <w:rPr>
                      <w:rFonts w:hint="eastAsia" w:eastAsia="宋体"/>
                      <w:lang w:eastAsia="zh-CN"/>
                    </w:rPr>
                    <w:t>渗，防渗效果等效黏土防渗层Mb≥1.5m，K≤1×10</w:t>
                  </w:r>
                  <w:r>
                    <w:rPr>
                      <w:rFonts w:hint="eastAsia" w:eastAsia="宋体"/>
                      <w:vertAlign w:val="superscript"/>
                      <w:lang w:eastAsia="zh-CN"/>
                    </w:rPr>
                    <w:t>-7</w:t>
                  </w:r>
                </w:p>
              </w:tc>
            </w:tr>
          </w:tbl>
          <w:p>
            <w:pPr>
              <w:pStyle w:val="72"/>
              <w:keepNext w:val="0"/>
              <w:keepLines w:val="0"/>
              <w:pageBreakBefore w:val="0"/>
              <w:kinsoku/>
              <w:wordWrap/>
              <w:overflowPunct/>
              <w:topLinePunct w:val="0"/>
              <w:bidi w:val="0"/>
              <w:adjustRightInd/>
              <w:snapToGrid/>
              <w:spacing w:line="462" w:lineRule="exact"/>
              <w:textAlignment w:val="auto"/>
              <w:rPr>
                <w:rFonts w:hint="eastAsia" w:eastAsia="宋体"/>
                <w:color w:val="auto"/>
                <w:lang w:eastAsia="zh-CN"/>
              </w:rPr>
            </w:pPr>
            <w:r>
              <w:rPr>
                <w:rFonts w:hint="eastAsia"/>
                <w:color w:val="auto"/>
                <w:lang w:eastAsia="zh-CN"/>
              </w:rPr>
              <w:t>本项目运营期在加强生产管理，落实</w:t>
            </w:r>
            <w:r>
              <w:rPr>
                <w:rFonts w:hint="default"/>
                <w:color w:val="auto"/>
              </w:rPr>
              <w:t>各项防渗措施</w:t>
            </w:r>
            <w:r>
              <w:rPr>
                <w:rFonts w:hint="eastAsia"/>
                <w:color w:val="auto"/>
                <w:lang w:eastAsia="zh-CN"/>
              </w:rPr>
              <w:t>后，项目运营</w:t>
            </w:r>
            <w:r>
              <w:rPr>
                <w:rFonts w:hint="default"/>
                <w:color w:val="auto"/>
              </w:rPr>
              <w:t>对区域地下水和土壤环境</w:t>
            </w:r>
            <w:r>
              <w:rPr>
                <w:rFonts w:hint="eastAsia"/>
                <w:color w:val="auto"/>
                <w:lang w:eastAsia="zh-CN"/>
              </w:rPr>
              <w:t>的</w:t>
            </w:r>
            <w:r>
              <w:rPr>
                <w:rFonts w:hint="default"/>
                <w:color w:val="auto"/>
              </w:rPr>
              <w:t>影响</w:t>
            </w:r>
            <w:r>
              <w:rPr>
                <w:rFonts w:hint="eastAsia"/>
                <w:color w:val="auto"/>
                <w:lang w:eastAsia="zh-CN"/>
              </w:rPr>
              <w:t>是可控的</w:t>
            </w:r>
            <w:r>
              <w:rPr>
                <w:rFonts w:hint="default"/>
                <w:color w:val="auto"/>
              </w:rPr>
              <w:t>。</w:t>
            </w:r>
            <w:r>
              <w:rPr>
                <w:rFonts w:hint="eastAsia"/>
                <w:color w:val="auto"/>
                <w:lang w:eastAsia="zh-CN"/>
              </w:rPr>
              <w:t>项目分区防渗详见附图四。</w:t>
            </w:r>
          </w:p>
          <w:p>
            <w:pPr>
              <w:pStyle w:val="75"/>
              <w:keepNext w:val="0"/>
              <w:keepLines w:val="0"/>
              <w:pageBreakBefore w:val="0"/>
              <w:kinsoku/>
              <w:wordWrap/>
              <w:overflowPunct/>
              <w:topLinePunct w:val="0"/>
              <w:bidi w:val="0"/>
              <w:adjustRightInd/>
              <w:snapToGrid/>
              <w:spacing w:line="462" w:lineRule="exact"/>
              <w:ind w:firstLine="482"/>
              <w:textAlignment w:val="auto"/>
              <w:rPr>
                <w:b/>
              </w:rPr>
            </w:pPr>
            <w:r>
              <w:rPr>
                <w:rFonts w:hint="eastAsia"/>
                <w:b/>
                <w:lang w:val="en-US" w:eastAsia="zh-CN"/>
              </w:rPr>
              <w:t xml:space="preserve">6 </w:t>
            </w:r>
            <w:r>
              <w:rPr>
                <w:b/>
              </w:rPr>
              <w:t>环境风险</w:t>
            </w:r>
          </w:p>
          <w:p>
            <w:pPr>
              <w:spacing w:before="182" w:line="219" w:lineRule="auto"/>
              <w:ind w:left="587"/>
              <w:rPr>
                <w:rFonts w:ascii="宋体" w:hAnsi="宋体" w:eastAsia="宋体" w:cs="宋体"/>
                <w:sz w:val="24"/>
                <w:szCs w:val="24"/>
              </w:rPr>
            </w:pPr>
            <w:r>
              <w:rPr>
                <w:rFonts w:ascii="宋体" w:hAnsi="宋体" w:eastAsia="宋体" w:cs="宋体"/>
                <w:spacing w:val="-2"/>
                <w:sz w:val="24"/>
                <w:szCs w:val="24"/>
              </w:rPr>
              <w:t>（</w:t>
            </w:r>
            <w:r>
              <w:rPr>
                <w:rFonts w:hint="eastAsia" w:ascii="宋体" w:hAnsi="宋体" w:eastAsia="宋体" w:cs="宋体"/>
                <w:spacing w:val="-2"/>
                <w:sz w:val="24"/>
                <w:szCs w:val="24"/>
                <w:lang w:val="en-US" w:eastAsia="zh-CN"/>
              </w:rPr>
              <w:t>1</w:t>
            </w:r>
            <w:r>
              <w:rPr>
                <w:rFonts w:ascii="宋体" w:hAnsi="宋体" w:eastAsia="宋体" w:cs="宋体"/>
                <w:spacing w:val="-2"/>
                <w:sz w:val="24"/>
                <w:szCs w:val="24"/>
              </w:rPr>
              <w:t>）风险源分布、影响途径及防范措施</w:t>
            </w:r>
          </w:p>
          <w:p>
            <w:pPr>
              <w:pStyle w:val="72"/>
              <w:keepNext w:val="0"/>
              <w:keepLines w:val="0"/>
              <w:pageBreakBefore w:val="0"/>
              <w:kinsoku/>
              <w:wordWrap/>
              <w:overflowPunct/>
              <w:topLinePunct w:val="0"/>
              <w:bidi w:val="0"/>
              <w:adjustRightInd/>
              <w:snapToGrid/>
              <w:spacing w:line="462" w:lineRule="exact"/>
              <w:textAlignment w:val="auto"/>
              <w:rPr>
                <w:rFonts w:hint="eastAsia"/>
                <w:color w:val="auto"/>
                <w:lang w:eastAsia="zh-CN"/>
              </w:rPr>
            </w:pPr>
            <w:r>
              <w:rPr>
                <w:rFonts w:hint="eastAsia"/>
                <w:color w:val="auto"/>
                <w:lang w:eastAsia="zh-CN"/>
              </w:rPr>
              <w:t>本项目生产过程中主要涉及环境风险的物质主要为树脂、固化剂、三乙胺等原辅材料及三乙胺净化废水、危险废物等。</w:t>
            </w:r>
          </w:p>
          <w:p>
            <w:pPr>
              <w:spacing w:before="184" w:line="212" w:lineRule="auto"/>
              <w:ind w:left="2858"/>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0"/>
                </w14:textOutline>
              </w:rPr>
              <w:t>表</w:t>
            </w:r>
            <w:r>
              <w:rPr>
                <w:rFonts w:ascii="宋体" w:hAnsi="宋体" w:eastAsia="宋体" w:cs="宋体"/>
                <w:spacing w:val="-42"/>
                <w:sz w:val="24"/>
                <w:szCs w:val="24"/>
              </w:rPr>
              <w:t xml:space="preserve"> </w:t>
            </w:r>
            <w:r>
              <w:rPr>
                <w:rFonts w:ascii="Times New Roman" w:hAnsi="Times New Roman" w:eastAsia="Times New Roman" w:cs="Times New Roman"/>
                <w:b/>
                <w:bCs/>
                <w:spacing w:val="-1"/>
                <w:sz w:val="24"/>
                <w:szCs w:val="24"/>
              </w:rPr>
              <w:t>4-</w:t>
            </w:r>
            <w:r>
              <w:rPr>
                <w:rFonts w:hint="eastAsia" w:eastAsia="宋体" w:cs="Times New Roman"/>
                <w:b/>
                <w:bCs/>
                <w:spacing w:val="-1"/>
                <w:sz w:val="24"/>
                <w:szCs w:val="24"/>
                <w:lang w:val="en-US" w:eastAsia="zh-CN"/>
              </w:rPr>
              <w:t>10</w:t>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6" w14:cap="flat" w14:cmpd="sng">
                  <w14:solidFill>
                    <w14:srgbClr w14:val="000000"/>
                  </w14:solidFill>
                  <w14:prstDash w14:val="solid"/>
                  <w14:miter w14:val="0"/>
                </w14:textOutline>
              </w:rPr>
              <w:t>建设项目环境风险识别</w:t>
            </w:r>
          </w:p>
          <w:tbl>
            <w:tblPr>
              <w:tblStyle w:val="95"/>
              <w:tblW w:w="499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6"/>
              <w:gridCol w:w="2006"/>
              <w:gridCol w:w="1072"/>
              <w:gridCol w:w="1299"/>
              <w:gridCol w:w="25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86" w:type="dxa"/>
                  <w:vAlign w:val="center"/>
                </w:tcPr>
                <w:p>
                  <w:pPr>
                    <w:pStyle w:val="39"/>
                    <w:bidi w:val="0"/>
                    <w:jc w:val="center"/>
                    <w:rPr>
                      <w:rFonts w:hint="eastAsia"/>
                      <w:color w:val="auto"/>
                      <w:sz w:val="21"/>
                      <w:szCs w:val="21"/>
                      <w:lang w:eastAsia="zh-CN"/>
                    </w:rPr>
                  </w:pPr>
                  <w:r>
                    <w:rPr>
                      <w:rFonts w:hint="eastAsia"/>
                      <w:color w:val="auto"/>
                      <w:sz w:val="21"/>
                      <w:szCs w:val="21"/>
                      <w:lang w:eastAsia="zh-CN"/>
                    </w:rPr>
                    <w:t>事件情景</w:t>
                  </w:r>
                </w:p>
              </w:tc>
              <w:tc>
                <w:tcPr>
                  <w:tcW w:w="2007" w:type="dxa"/>
                  <w:vAlign w:val="center"/>
                </w:tcPr>
                <w:p>
                  <w:pPr>
                    <w:pStyle w:val="39"/>
                    <w:bidi w:val="0"/>
                    <w:jc w:val="center"/>
                    <w:rPr>
                      <w:rFonts w:hint="eastAsia"/>
                      <w:color w:val="auto"/>
                      <w:sz w:val="21"/>
                      <w:szCs w:val="21"/>
                      <w:lang w:eastAsia="zh-CN"/>
                    </w:rPr>
                  </w:pPr>
                  <w:r>
                    <w:rPr>
                      <w:rFonts w:hint="eastAsia"/>
                      <w:color w:val="auto"/>
                      <w:sz w:val="21"/>
                      <w:szCs w:val="21"/>
                      <w:lang w:eastAsia="zh-CN"/>
                    </w:rPr>
                    <w:t>风险物质</w:t>
                  </w:r>
                </w:p>
              </w:tc>
              <w:tc>
                <w:tcPr>
                  <w:tcW w:w="1073" w:type="dxa"/>
                  <w:vAlign w:val="center"/>
                </w:tcPr>
                <w:p>
                  <w:pPr>
                    <w:pStyle w:val="39"/>
                    <w:bidi w:val="0"/>
                    <w:jc w:val="center"/>
                    <w:rPr>
                      <w:rFonts w:hint="eastAsia"/>
                      <w:color w:val="auto"/>
                      <w:sz w:val="21"/>
                      <w:szCs w:val="21"/>
                      <w:lang w:eastAsia="zh-CN"/>
                    </w:rPr>
                  </w:pPr>
                  <w:r>
                    <w:rPr>
                      <w:rFonts w:hint="eastAsia"/>
                      <w:color w:val="auto"/>
                      <w:sz w:val="21"/>
                      <w:szCs w:val="21"/>
                      <w:lang w:eastAsia="zh-CN"/>
                    </w:rPr>
                    <w:t>发生地点</w:t>
                  </w:r>
                </w:p>
              </w:tc>
              <w:tc>
                <w:tcPr>
                  <w:tcW w:w="1300" w:type="dxa"/>
                  <w:vAlign w:val="center"/>
                </w:tcPr>
                <w:p>
                  <w:pPr>
                    <w:pStyle w:val="39"/>
                    <w:bidi w:val="0"/>
                    <w:jc w:val="center"/>
                    <w:rPr>
                      <w:rFonts w:hint="eastAsia"/>
                      <w:color w:val="auto"/>
                      <w:sz w:val="21"/>
                      <w:szCs w:val="21"/>
                      <w:lang w:eastAsia="zh-CN"/>
                    </w:rPr>
                  </w:pPr>
                  <w:r>
                    <w:rPr>
                      <w:rFonts w:hint="eastAsia"/>
                      <w:color w:val="auto"/>
                      <w:sz w:val="21"/>
                      <w:szCs w:val="21"/>
                      <w:lang w:eastAsia="zh-CN"/>
                    </w:rPr>
                    <w:t>污染途 径</w:t>
                  </w:r>
                </w:p>
              </w:tc>
              <w:tc>
                <w:tcPr>
                  <w:tcW w:w="2568" w:type="dxa"/>
                  <w:vAlign w:val="center"/>
                </w:tcPr>
                <w:p>
                  <w:pPr>
                    <w:pStyle w:val="39"/>
                    <w:bidi w:val="0"/>
                    <w:jc w:val="center"/>
                    <w:rPr>
                      <w:rFonts w:hint="eastAsia"/>
                      <w:color w:val="auto"/>
                      <w:sz w:val="21"/>
                      <w:szCs w:val="21"/>
                      <w:lang w:eastAsia="zh-CN"/>
                    </w:rPr>
                  </w:pPr>
                  <w:r>
                    <w:rPr>
                      <w:rFonts w:hint="eastAsia"/>
                      <w:color w:val="auto"/>
                      <w:sz w:val="21"/>
                      <w:szCs w:val="21"/>
                      <w:lang w:eastAsia="zh-CN"/>
                    </w:rPr>
                    <w:t>防控措施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86" w:type="dxa"/>
                  <w:vAlign w:val="center"/>
                </w:tcPr>
                <w:p>
                  <w:pPr>
                    <w:pStyle w:val="39"/>
                    <w:bidi w:val="0"/>
                    <w:spacing w:line="240" w:lineRule="auto"/>
                    <w:jc w:val="center"/>
                    <w:rPr>
                      <w:rFonts w:hint="eastAsia"/>
                      <w:color w:val="auto"/>
                      <w:sz w:val="21"/>
                      <w:szCs w:val="21"/>
                      <w:lang w:eastAsia="zh-CN"/>
                    </w:rPr>
                  </w:pPr>
                  <w:r>
                    <w:rPr>
                      <w:rFonts w:hint="eastAsia"/>
                      <w:color w:val="auto"/>
                      <w:sz w:val="21"/>
                      <w:szCs w:val="21"/>
                      <w:lang w:val="en-US" w:eastAsia="zh-CN"/>
                    </w:rPr>
                    <w:t>液体原料</w:t>
                  </w:r>
                </w:p>
                <w:p>
                  <w:pPr>
                    <w:pStyle w:val="39"/>
                    <w:bidi w:val="0"/>
                    <w:spacing w:line="240" w:lineRule="auto"/>
                    <w:jc w:val="center"/>
                    <w:rPr>
                      <w:rFonts w:hint="eastAsia"/>
                      <w:color w:val="auto"/>
                      <w:sz w:val="21"/>
                      <w:szCs w:val="21"/>
                      <w:lang w:eastAsia="zh-CN"/>
                    </w:rPr>
                  </w:pPr>
                  <w:r>
                    <w:rPr>
                      <w:rFonts w:hint="eastAsia"/>
                      <w:color w:val="auto"/>
                      <w:sz w:val="21"/>
                      <w:szCs w:val="21"/>
                      <w:lang w:eastAsia="zh-CN"/>
                    </w:rPr>
                    <w:t>泄漏</w:t>
                  </w:r>
                </w:p>
              </w:tc>
              <w:tc>
                <w:tcPr>
                  <w:tcW w:w="2007" w:type="dxa"/>
                  <w:vAlign w:val="center"/>
                </w:tcPr>
                <w:p>
                  <w:pPr>
                    <w:pStyle w:val="39"/>
                    <w:bidi w:val="0"/>
                    <w:spacing w:line="240" w:lineRule="auto"/>
                    <w:jc w:val="center"/>
                    <w:rPr>
                      <w:rFonts w:hint="eastAsia"/>
                      <w:color w:val="auto"/>
                      <w:sz w:val="21"/>
                      <w:szCs w:val="21"/>
                      <w:lang w:eastAsia="zh-CN"/>
                    </w:rPr>
                  </w:pPr>
                  <w:r>
                    <w:rPr>
                      <w:rFonts w:hint="eastAsia"/>
                      <w:color w:val="auto"/>
                      <w:sz w:val="21"/>
                      <w:szCs w:val="21"/>
                      <w:lang w:eastAsia="zh-CN"/>
                    </w:rPr>
                    <w:t>树脂、固化剂、三乙</w:t>
                  </w:r>
                </w:p>
                <w:p>
                  <w:pPr>
                    <w:pStyle w:val="39"/>
                    <w:bidi w:val="0"/>
                    <w:spacing w:line="240" w:lineRule="auto"/>
                    <w:jc w:val="center"/>
                    <w:rPr>
                      <w:rFonts w:hint="eastAsia"/>
                      <w:color w:val="auto"/>
                      <w:sz w:val="21"/>
                      <w:szCs w:val="21"/>
                      <w:lang w:eastAsia="zh-CN"/>
                    </w:rPr>
                  </w:pPr>
                  <w:r>
                    <w:rPr>
                      <w:rFonts w:hint="eastAsia"/>
                      <w:color w:val="auto"/>
                      <w:sz w:val="21"/>
                      <w:szCs w:val="21"/>
                      <w:lang w:eastAsia="zh-CN"/>
                    </w:rPr>
                    <w:t>胺等原辅材料</w:t>
                  </w:r>
                </w:p>
              </w:tc>
              <w:tc>
                <w:tcPr>
                  <w:tcW w:w="1073" w:type="dxa"/>
                  <w:vAlign w:val="center"/>
                </w:tcPr>
                <w:p>
                  <w:pPr>
                    <w:pStyle w:val="39"/>
                    <w:bidi w:val="0"/>
                    <w:spacing w:line="240" w:lineRule="auto"/>
                    <w:jc w:val="center"/>
                    <w:rPr>
                      <w:rFonts w:hint="eastAsia"/>
                      <w:color w:val="auto"/>
                      <w:sz w:val="21"/>
                      <w:szCs w:val="21"/>
                      <w:lang w:eastAsia="zh-CN"/>
                    </w:rPr>
                  </w:pPr>
                  <w:r>
                    <w:rPr>
                      <w:rFonts w:hint="eastAsia"/>
                      <w:color w:val="auto"/>
                      <w:sz w:val="21"/>
                      <w:szCs w:val="21"/>
                      <w:lang w:eastAsia="zh-CN"/>
                    </w:rPr>
                    <w:t>仓库、 生 产线</w:t>
                  </w:r>
                </w:p>
              </w:tc>
              <w:tc>
                <w:tcPr>
                  <w:tcW w:w="1300" w:type="dxa"/>
                  <w:vAlign w:val="center"/>
                </w:tcPr>
                <w:p>
                  <w:pPr>
                    <w:pStyle w:val="39"/>
                    <w:bidi w:val="0"/>
                    <w:spacing w:line="240" w:lineRule="auto"/>
                    <w:jc w:val="center"/>
                    <w:rPr>
                      <w:rFonts w:hint="eastAsia"/>
                      <w:color w:val="auto"/>
                      <w:sz w:val="21"/>
                      <w:szCs w:val="21"/>
                      <w:lang w:eastAsia="zh-CN"/>
                    </w:rPr>
                  </w:pPr>
                  <w:r>
                    <w:rPr>
                      <w:rFonts w:hint="eastAsia"/>
                      <w:color w:val="auto"/>
                      <w:sz w:val="21"/>
                      <w:szCs w:val="21"/>
                      <w:lang w:eastAsia="zh-CN"/>
                    </w:rPr>
                    <w:t>土壤、 地下水</w:t>
                  </w:r>
                </w:p>
              </w:tc>
              <w:tc>
                <w:tcPr>
                  <w:tcW w:w="2568" w:type="dxa"/>
                  <w:vAlign w:val="center"/>
                </w:tcPr>
                <w:p>
                  <w:pPr>
                    <w:pStyle w:val="39"/>
                    <w:bidi w:val="0"/>
                    <w:spacing w:line="240" w:lineRule="auto"/>
                    <w:jc w:val="center"/>
                    <w:rPr>
                      <w:rFonts w:hint="eastAsia"/>
                      <w:color w:val="auto"/>
                      <w:sz w:val="21"/>
                      <w:szCs w:val="21"/>
                      <w:lang w:eastAsia="zh-CN"/>
                    </w:rPr>
                  </w:pPr>
                  <w:r>
                    <w:rPr>
                      <w:rFonts w:hint="eastAsia"/>
                      <w:color w:val="auto"/>
                      <w:sz w:val="21"/>
                      <w:szCs w:val="21"/>
                      <w:lang w:eastAsia="zh-CN"/>
                    </w:rPr>
                    <w:t>树脂、固化剂、三乙</w:t>
                  </w:r>
                </w:p>
                <w:p>
                  <w:pPr>
                    <w:pStyle w:val="39"/>
                    <w:bidi w:val="0"/>
                    <w:spacing w:line="240" w:lineRule="auto"/>
                    <w:jc w:val="center"/>
                    <w:rPr>
                      <w:rFonts w:hint="default"/>
                      <w:color w:val="auto"/>
                      <w:sz w:val="21"/>
                      <w:szCs w:val="21"/>
                      <w:lang w:val="en-US" w:eastAsia="zh-CN"/>
                    </w:rPr>
                  </w:pPr>
                  <w:r>
                    <w:rPr>
                      <w:rFonts w:hint="eastAsia"/>
                      <w:color w:val="auto"/>
                      <w:sz w:val="21"/>
                      <w:szCs w:val="21"/>
                      <w:lang w:eastAsia="zh-CN"/>
                    </w:rPr>
                    <w:t>胺</w:t>
                  </w:r>
                  <w:r>
                    <w:rPr>
                      <w:rFonts w:hint="eastAsia"/>
                      <w:color w:val="auto"/>
                      <w:sz w:val="21"/>
                      <w:szCs w:val="21"/>
                      <w:lang w:val="en-US" w:eastAsia="zh-CN"/>
                    </w:rPr>
                    <w:t>液体储存在包装桶内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86" w:type="dxa"/>
                  <w:vAlign w:val="center"/>
                </w:tcPr>
                <w:p>
                  <w:pPr>
                    <w:pStyle w:val="39"/>
                    <w:bidi w:val="0"/>
                    <w:spacing w:line="240" w:lineRule="auto"/>
                    <w:jc w:val="center"/>
                    <w:rPr>
                      <w:rFonts w:hint="eastAsia"/>
                      <w:color w:val="auto"/>
                      <w:sz w:val="21"/>
                      <w:szCs w:val="21"/>
                      <w:lang w:eastAsia="zh-CN"/>
                    </w:rPr>
                  </w:pPr>
                  <w:r>
                    <w:rPr>
                      <w:rFonts w:hint="eastAsia"/>
                      <w:color w:val="auto"/>
                      <w:sz w:val="21"/>
                      <w:szCs w:val="21"/>
                      <w:lang w:eastAsia="zh-CN"/>
                    </w:rPr>
                    <w:t>危废流失</w:t>
                  </w:r>
                </w:p>
              </w:tc>
              <w:tc>
                <w:tcPr>
                  <w:tcW w:w="2007" w:type="dxa"/>
                  <w:vAlign w:val="center"/>
                </w:tcPr>
                <w:p>
                  <w:pPr>
                    <w:pStyle w:val="39"/>
                    <w:bidi w:val="0"/>
                    <w:spacing w:line="240" w:lineRule="auto"/>
                    <w:jc w:val="center"/>
                    <w:rPr>
                      <w:rFonts w:hint="eastAsia"/>
                      <w:color w:val="auto"/>
                      <w:sz w:val="21"/>
                      <w:szCs w:val="21"/>
                      <w:lang w:eastAsia="zh-CN"/>
                    </w:rPr>
                  </w:pPr>
                  <w:r>
                    <w:rPr>
                      <w:rFonts w:hint="eastAsia"/>
                      <w:color w:val="auto"/>
                      <w:sz w:val="21"/>
                      <w:szCs w:val="21"/>
                      <w:lang w:eastAsia="zh-CN"/>
                    </w:rPr>
                    <w:t>三乙胺净化废水等</w:t>
                  </w:r>
                </w:p>
              </w:tc>
              <w:tc>
                <w:tcPr>
                  <w:tcW w:w="1073" w:type="dxa"/>
                  <w:vAlign w:val="center"/>
                </w:tcPr>
                <w:p>
                  <w:pPr>
                    <w:pStyle w:val="39"/>
                    <w:bidi w:val="0"/>
                    <w:spacing w:line="240" w:lineRule="auto"/>
                    <w:jc w:val="center"/>
                    <w:rPr>
                      <w:rFonts w:hint="eastAsia"/>
                      <w:color w:val="auto"/>
                      <w:sz w:val="21"/>
                      <w:szCs w:val="21"/>
                      <w:lang w:eastAsia="zh-CN"/>
                    </w:rPr>
                  </w:pPr>
                  <w:r>
                    <w:rPr>
                      <w:rFonts w:hint="eastAsia"/>
                      <w:color w:val="auto"/>
                      <w:sz w:val="21"/>
                      <w:szCs w:val="21"/>
                      <w:lang w:eastAsia="zh-CN"/>
                    </w:rPr>
                    <w:t>危废库</w:t>
                  </w:r>
                </w:p>
              </w:tc>
              <w:tc>
                <w:tcPr>
                  <w:tcW w:w="1300" w:type="dxa"/>
                  <w:vAlign w:val="center"/>
                </w:tcPr>
                <w:p>
                  <w:pPr>
                    <w:pStyle w:val="39"/>
                    <w:bidi w:val="0"/>
                    <w:spacing w:line="240" w:lineRule="auto"/>
                    <w:jc w:val="center"/>
                    <w:rPr>
                      <w:rFonts w:hint="eastAsia"/>
                      <w:color w:val="auto"/>
                      <w:sz w:val="21"/>
                      <w:szCs w:val="21"/>
                      <w:lang w:eastAsia="zh-CN"/>
                    </w:rPr>
                  </w:pPr>
                  <w:r>
                    <w:rPr>
                      <w:rFonts w:hint="eastAsia"/>
                      <w:color w:val="auto"/>
                      <w:sz w:val="21"/>
                      <w:szCs w:val="21"/>
                      <w:lang w:eastAsia="zh-CN"/>
                    </w:rPr>
                    <w:t>土壤、 地下水</w:t>
                  </w:r>
                </w:p>
              </w:tc>
              <w:tc>
                <w:tcPr>
                  <w:tcW w:w="2568" w:type="dxa"/>
                  <w:vAlign w:val="center"/>
                </w:tcPr>
                <w:p>
                  <w:pPr>
                    <w:pStyle w:val="39"/>
                    <w:bidi w:val="0"/>
                    <w:spacing w:line="240" w:lineRule="auto"/>
                    <w:jc w:val="center"/>
                    <w:rPr>
                      <w:rFonts w:hint="eastAsia"/>
                      <w:color w:val="auto"/>
                      <w:sz w:val="21"/>
                      <w:szCs w:val="21"/>
                      <w:lang w:eastAsia="zh-CN"/>
                    </w:rPr>
                  </w:pPr>
                  <w:r>
                    <w:rPr>
                      <w:rFonts w:hint="eastAsia"/>
                      <w:color w:val="auto"/>
                      <w:sz w:val="21"/>
                      <w:szCs w:val="21"/>
                      <w:lang w:eastAsia="zh-CN"/>
                    </w:rPr>
                    <w:t>危废库按规范要求建设，专人进行管理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86" w:type="dxa"/>
                  <w:vAlign w:val="center"/>
                </w:tcPr>
                <w:p>
                  <w:pPr>
                    <w:pStyle w:val="39"/>
                    <w:bidi w:val="0"/>
                    <w:spacing w:line="240" w:lineRule="auto"/>
                    <w:jc w:val="center"/>
                    <w:rPr>
                      <w:rFonts w:hint="eastAsia"/>
                      <w:color w:val="auto"/>
                      <w:sz w:val="21"/>
                      <w:szCs w:val="21"/>
                      <w:lang w:eastAsia="zh-CN"/>
                    </w:rPr>
                  </w:pPr>
                  <w:r>
                    <w:rPr>
                      <w:rFonts w:hint="eastAsia"/>
                      <w:color w:val="auto"/>
                      <w:sz w:val="21"/>
                      <w:szCs w:val="21"/>
                      <w:lang w:eastAsia="zh-CN"/>
                    </w:rPr>
                    <w:t>火灾</w:t>
                  </w:r>
                </w:p>
              </w:tc>
              <w:tc>
                <w:tcPr>
                  <w:tcW w:w="2007" w:type="dxa"/>
                  <w:vAlign w:val="center"/>
                </w:tcPr>
                <w:p>
                  <w:pPr>
                    <w:pStyle w:val="39"/>
                    <w:bidi w:val="0"/>
                    <w:spacing w:line="240" w:lineRule="auto"/>
                    <w:jc w:val="center"/>
                    <w:rPr>
                      <w:rFonts w:hint="eastAsia"/>
                      <w:color w:val="auto"/>
                      <w:sz w:val="21"/>
                      <w:szCs w:val="21"/>
                      <w:lang w:eastAsia="zh-CN"/>
                    </w:rPr>
                  </w:pPr>
                  <w:r>
                    <w:rPr>
                      <w:rFonts w:hint="eastAsia"/>
                      <w:color w:val="auto"/>
                      <w:sz w:val="21"/>
                      <w:szCs w:val="21"/>
                      <w:lang w:eastAsia="zh-CN"/>
                    </w:rPr>
                    <w:t>树脂、固化剂、危险废物等</w:t>
                  </w:r>
                </w:p>
              </w:tc>
              <w:tc>
                <w:tcPr>
                  <w:tcW w:w="1073" w:type="dxa"/>
                  <w:vAlign w:val="center"/>
                </w:tcPr>
                <w:p>
                  <w:pPr>
                    <w:pStyle w:val="39"/>
                    <w:bidi w:val="0"/>
                    <w:spacing w:line="240" w:lineRule="auto"/>
                    <w:jc w:val="center"/>
                    <w:rPr>
                      <w:rFonts w:hint="eastAsia"/>
                      <w:color w:val="auto"/>
                      <w:sz w:val="21"/>
                      <w:szCs w:val="21"/>
                      <w:lang w:eastAsia="zh-CN"/>
                    </w:rPr>
                  </w:pPr>
                  <w:r>
                    <w:rPr>
                      <w:rFonts w:hint="eastAsia"/>
                      <w:color w:val="auto"/>
                      <w:sz w:val="21"/>
                      <w:szCs w:val="21"/>
                      <w:lang w:val="en-US" w:eastAsia="zh-CN"/>
                    </w:rPr>
                    <w:t>辅料仓</w:t>
                  </w:r>
                </w:p>
                <w:p>
                  <w:pPr>
                    <w:pStyle w:val="39"/>
                    <w:bidi w:val="0"/>
                    <w:spacing w:line="240" w:lineRule="auto"/>
                    <w:jc w:val="center"/>
                    <w:rPr>
                      <w:rFonts w:hint="eastAsia"/>
                      <w:color w:val="auto"/>
                      <w:sz w:val="21"/>
                      <w:szCs w:val="21"/>
                      <w:lang w:eastAsia="zh-CN"/>
                    </w:rPr>
                  </w:pPr>
                  <w:r>
                    <w:rPr>
                      <w:rFonts w:hint="eastAsia"/>
                      <w:color w:val="auto"/>
                      <w:sz w:val="21"/>
                      <w:szCs w:val="21"/>
                      <w:lang w:eastAsia="zh-CN"/>
                    </w:rPr>
                    <w:t>库、危废</w:t>
                  </w:r>
                </w:p>
                <w:p>
                  <w:pPr>
                    <w:pStyle w:val="39"/>
                    <w:bidi w:val="0"/>
                    <w:spacing w:line="240" w:lineRule="auto"/>
                    <w:jc w:val="center"/>
                    <w:rPr>
                      <w:rFonts w:hint="eastAsia"/>
                      <w:color w:val="auto"/>
                      <w:sz w:val="21"/>
                      <w:szCs w:val="21"/>
                      <w:lang w:eastAsia="zh-CN"/>
                    </w:rPr>
                  </w:pPr>
                  <w:r>
                    <w:rPr>
                      <w:rFonts w:hint="eastAsia"/>
                      <w:color w:val="auto"/>
                      <w:sz w:val="21"/>
                      <w:szCs w:val="21"/>
                      <w:lang w:eastAsia="zh-CN"/>
                    </w:rPr>
                    <w:t>暂存间</w:t>
                  </w:r>
                </w:p>
              </w:tc>
              <w:tc>
                <w:tcPr>
                  <w:tcW w:w="1300" w:type="dxa"/>
                  <w:vAlign w:val="center"/>
                </w:tcPr>
                <w:p>
                  <w:pPr>
                    <w:pStyle w:val="39"/>
                    <w:bidi w:val="0"/>
                    <w:spacing w:line="240" w:lineRule="auto"/>
                    <w:jc w:val="center"/>
                    <w:rPr>
                      <w:rFonts w:hint="eastAsia"/>
                      <w:color w:val="auto"/>
                      <w:sz w:val="21"/>
                      <w:szCs w:val="21"/>
                      <w:lang w:eastAsia="zh-CN"/>
                    </w:rPr>
                  </w:pPr>
                  <w:r>
                    <w:rPr>
                      <w:rFonts w:hint="eastAsia"/>
                      <w:color w:val="auto"/>
                      <w:sz w:val="21"/>
                      <w:szCs w:val="21"/>
                      <w:lang w:eastAsia="zh-CN"/>
                    </w:rPr>
                    <w:t>大气、 地下水</w:t>
                  </w:r>
                </w:p>
              </w:tc>
              <w:tc>
                <w:tcPr>
                  <w:tcW w:w="2568" w:type="dxa"/>
                  <w:vAlign w:val="center"/>
                </w:tcPr>
                <w:p>
                  <w:pPr>
                    <w:pStyle w:val="39"/>
                    <w:bidi w:val="0"/>
                    <w:spacing w:line="240" w:lineRule="auto"/>
                    <w:jc w:val="center"/>
                    <w:rPr>
                      <w:rFonts w:hint="eastAsia"/>
                      <w:color w:val="auto"/>
                      <w:sz w:val="21"/>
                      <w:szCs w:val="21"/>
                      <w:lang w:eastAsia="zh-CN"/>
                    </w:rPr>
                  </w:pPr>
                  <w:r>
                    <w:rPr>
                      <w:rFonts w:hint="eastAsia"/>
                      <w:color w:val="auto"/>
                      <w:sz w:val="21"/>
                      <w:szCs w:val="21"/>
                      <w:lang w:eastAsia="zh-CN"/>
                    </w:rPr>
                    <w:t>消防栓、灭火器、防护服、防护手套、口罩、应急水泵、</w:t>
                  </w:r>
                </w:p>
              </w:tc>
            </w:tr>
          </w:tbl>
          <w:p>
            <w:pPr>
              <w:pStyle w:val="72"/>
              <w:keepNext w:val="0"/>
              <w:keepLines w:val="0"/>
              <w:pageBreakBefore w:val="0"/>
              <w:kinsoku/>
              <w:wordWrap/>
              <w:overflowPunct/>
              <w:topLinePunct w:val="0"/>
              <w:bidi w:val="0"/>
              <w:adjustRightInd/>
              <w:snapToGrid/>
              <w:spacing w:line="462" w:lineRule="exact"/>
              <w:textAlignment w:val="auto"/>
              <w:rPr>
                <w:rFonts w:hint="default"/>
                <w:color w:val="auto"/>
                <w:lang w:val="en-US" w:eastAsia="zh-CN"/>
              </w:rPr>
            </w:pPr>
            <w:r>
              <w:rPr>
                <w:rFonts w:hint="eastAsia"/>
                <w:color w:val="auto"/>
                <w:lang w:eastAsia="zh-CN"/>
              </w:rPr>
              <w:t>当发生火灾时，树脂、固化剂着火燃烧会产生有机废气及有毒有害气体，对周边环境造成影响； 树脂、固化剂、三乙胺等原辅材料在存储或者使用过程中泄露会随着雨水进入</w:t>
            </w:r>
            <w:r>
              <w:rPr>
                <w:rFonts w:hint="eastAsia"/>
                <w:color w:val="auto"/>
                <w:lang w:val="en-US" w:eastAsia="zh-CN"/>
              </w:rPr>
              <w:t>地表水体</w:t>
            </w:r>
            <w:r>
              <w:rPr>
                <w:rFonts w:hint="eastAsia"/>
                <w:color w:val="auto"/>
                <w:lang w:eastAsia="zh-CN"/>
              </w:rPr>
              <w:t>雨水管网对水质造成严重的不良影响； 危险废物遗失会对土壤和地下水产生不良影响</w:t>
            </w:r>
          </w:p>
          <w:p>
            <w:pPr>
              <w:pStyle w:val="72"/>
              <w:keepNext w:val="0"/>
              <w:keepLines w:val="0"/>
              <w:pageBreakBefore w:val="0"/>
              <w:kinsoku/>
              <w:wordWrap/>
              <w:overflowPunct/>
              <w:topLinePunct w:val="0"/>
              <w:bidi w:val="0"/>
              <w:adjustRightInd/>
              <w:snapToGrid/>
              <w:spacing w:line="462" w:lineRule="exact"/>
              <w:textAlignment w:val="auto"/>
              <w:rPr>
                <w:rFonts w:hint="eastAsia"/>
                <w:color w:val="auto"/>
                <w:lang w:eastAsia="zh-CN"/>
              </w:rPr>
            </w:pPr>
            <w:r>
              <w:rPr>
                <w:rFonts w:hint="eastAsia"/>
                <w:color w:val="auto"/>
                <w:lang w:eastAsia="zh-CN"/>
              </w:rPr>
              <w:t>①树脂、固化剂、三乙胺等原辅材料等入库时，严格检验物品质量、数量、包装情况、有无泄漏，入库后采取适当的养护措施， 在贮存期内，定期检查，发现其品质变化、包装破损、渗漏等，及时处理；</w:t>
            </w:r>
          </w:p>
          <w:p>
            <w:pPr>
              <w:pStyle w:val="72"/>
              <w:keepNext w:val="0"/>
              <w:keepLines w:val="0"/>
              <w:pageBreakBefore w:val="0"/>
              <w:kinsoku/>
              <w:wordWrap/>
              <w:overflowPunct/>
              <w:topLinePunct w:val="0"/>
              <w:bidi w:val="0"/>
              <w:adjustRightInd/>
              <w:snapToGrid/>
              <w:spacing w:line="462" w:lineRule="exact"/>
              <w:textAlignment w:val="auto"/>
              <w:rPr>
                <w:rFonts w:hint="eastAsia"/>
                <w:color w:val="auto"/>
                <w:lang w:eastAsia="zh-CN"/>
              </w:rPr>
            </w:pPr>
            <w:r>
              <w:rPr>
                <w:rFonts w:hint="eastAsia"/>
                <w:color w:val="auto"/>
                <w:lang w:eastAsia="zh-CN"/>
              </w:rPr>
              <w:t>②应避免阳光直射、曝晒，远离热源、电源、火源， 库房建筑及各种设备符合《建筑设计防火规范》（GB50016-2014）的规定。</w:t>
            </w:r>
          </w:p>
          <w:p>
            <w:pPr>
              <w:pStyle w:val="72"/>
              <w:keepNext w:val="0"/>
              <w:keepLines w:val="0"/>
              <w:pageBreakBefore w:val="0"/>
              <w:kinsoku/>
              <w:wordWrap/>
              <w:overflowPunct/>
              <w:topLinePunct w:val="0"/>
              <w:bidi w:val="0"/>
              <w:adjustRightInd/>
              <w:snapToGrid/>
              <w:spacing w:line="462" w:lineRule="exact"/>
              <w:textAlignment w:val="auto"/>
              <w:rPr>
                <w:rFonts w:hint="eastAsia"/>
                <w:color w:val="auto"/>
                <w:lang w:eastAsia="zh-CN"/>
              </w:rPr>
            </w:pPr>
            <w:r>
              <w:rPr>
                <w:rFonts w:hint="eastAsia"/>
                <w:color w:val="auto"/>
                <w:lang w:eastAsia="zh-CN"/>
              </w:rPr>
              <w:t>③危废库按规范要求建设， 做到防雨、防风、防晒、防渗漏； 建立危险废物台账管理制度；设置警示标志专人进行管理。</w:t>
            </w:r>
          </w:p>
          <w:p>
            <w:pPr>
              <w:pStyle w:val="72"/>
              <w:keepNext w:val="0"/>
              <w:keepLines w:val="0"/>
              <w:pageBreakBefore w:val="0"/>
              <w:kinsoku/>
              <w:wordWrap/>
              <w:overflowPunct/>
              <w:topLinePunct w:val="0"/>
              <w:bidi w:val="0"/>
              <w:adjustRightInd/>
              <w:snapToGrid/>
              <w:spacing w:line="462" w:lineRule="exact"/>
              <w:textAlignment w:val="auto"/>
              <w:rPr>
                <w:rFonts w:hint="default"/>
                <w:b w:val="0"/>
                <w:bCs w:val="0"/>
                <w:lang w:val="en-US" w:eastAsia="zh-CN"/>
              </w:rPr>
            </w:pPr>
          </w:p>
        </w:tc>
      </w:tr>
    </w:tbl>
    <w:p>
      <w:pPr>
        <w:pStyle w:val="46"/>
        <w:rPr>
          <w:rFonts w:hint="eastAsia"/>
        </w:rPr>
        <w:sectPr>
          <w:pgSz w:w="11907" w:h="16840"/>
          <w:pgMar w:top="1701" w:right="1531" w:bottom="1701" w:left="1531" w:header="851" w:footer="1134" w:gutter="0"/>
          <w:pgBorders>
            <w:top w:val="none" w:sz="0" w:space="0"/>
            <w:left w:val="none" w:sz="0" w:space="0"/>
            <w:bottom w:val="none" w:sz="0" w:space="0"/>
            <w:right w:val="none" w:sz="0" w:space="0"/>
          </w:pgBorders>
          <w:pgNumType w:fmt="numberInDash"/>
          <w:cols w:space="720" w:num="1"/>
          <w:rtlGutter w:val="0"/>
          <w:docGrid w:type="lines" w:linePitch="312" w:charSpace="0"/>
        </w:sectPr>
      </w:pPr>
    </w:p>
    <w:p>
      <w:pPr>
        <w:pStyle w:val="2"/>
        <w:bidi w:val="0"/>
      </w:pPr>
      <w:bookmarkStart w:id="15" w:name="_Toc31225"/>
      <w:bookmarkStart w:id="16" w:name="_Toc3490"/>
      <w:bookmarkStart w:id="17" w:name="_Toc30259"/>
      <w:r>
        <w:rPr>
          <w:rFonts w:hint="eastAsia"/>
        </w:rPr>
        <w:t>五、</w:t>
      </w:r>
      <w:bookmarkStart w:id="18" w:name="_Hlk54167917"/>
      <w:r>
        <w:rPr>
          <w:rFonts w:hint="eastAsia"/>
        </w:rPr>
        <w:t>环境保护措施监督检查清单</w:t>
      </w:r>
      <w:bookmarkEnd w:id="15"/>
      <w:bookmarkEnd w:id="16"/>
      <w:bookmarkEnd w:id="17"/>
      <w:bookmarkEnd w:id="18"/>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517"/>
        <w:gridCol w:w="1268"/>
        <w:gridCol w:w="1347"/>
        <w:gridCol w:w="1197"/>
        <w:gridCol w:w="2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093" w:type="dxa"/>
            <w:tcBorders>
              <w:tl2br w:val="single" w:color="auto" w:sz="4" w:space="0"/>
            </w:tcBorders>
            <w:noWrap w:val="0"/>
            <w:vAlign w:val="top"/>
          </w:tcPr>
          <w:p>
            <w:pPr>
              <w:adjustRightInd w:val="0"/>
              <w:snapToGrid w:val="0"/>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内容</w:t>
            </w:r>
          </w:p>
          <w:p>
            <w:pPr>
              <w:keepNext w:val="0"/>
              <w:keepLines w:val="0"/>
              <w:pageBreakBefore w:val="0"/>
              <w:widowControl w:val="0"/>
              <w:kinsoku/>
              <w:wordWrap/>
              <w:overflowPunct/>
              <w:topLinePunct w:val="0"/>
              <w:autoSpaceDE/>
              <w:autoSpaceDN/>
              <w:bidi w:val="0"/>
              <w:adjustRightInd w:val="0"/>
              <w:snapToGrid w:val="0"/>
              <w:spacing w:before="40"/>
              <w:textAlignment w:val="auto"/>
              <w:rPr>
                <w:rFonts w:hint="default" w:ascii="Times New Roman" w:hAnsi="Times New Roman" w:cs="Times New Roman"/>
                <w:sz w:val="21"/>
                <w:szCs w:val="21"/>
              </w:rPr>
            </w:pPr>
            <w:r>
              <w:rPr>
                <w:rFonts w:hint="default" w:ascii="Times New Roman" w:hAnsi="Times New Roman" w:cs="Times New Roman"/>
                <w:sz w:val="21"/>
                <w:szCs w:val="21"/>
              </w:rPr>
              <w:t>要素</w:t>
            </w:r>
          </w:p>
        </w:tc>
        <w:tc>
          <w:tcPr>
            <w:tcW w:w="1517" w:type="dxa"/>
            <w:noWrap w:val="0"/>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排放口</w:t>
            </w:r>
            <w:r>
              <w:rPr>
                <w:rFonts w:hint="eastAsia" w:ascii="Times New Roman" w:hAnsi="Times New Roman" w:cs="Times New Roman"/>
                <w:sz w:val="21"/>
                <w:szCs w:val="21"/>
                <w:lang w:eastAsia="zh-CN"/>
              </w:rPr>
              <w:t>（</w:t>
            </w:r>
            <w:r>
              <w:rPr>
                <w:rFonts w:hint="default" w:ascii="Times New Roman" w:hAnsi="Times New Roman" w:cs="Times New Roman"/>
                <w:sz w:val="21"/>
                <w:szCs w:val="21"/>
              </w:rPr>
              <w:t>编号、</w:t>
            </w:r>
          </w:p>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名称</w:t>
            </w:r>
            <w:r>
              <w:rPr>
                <w:rFonts w:hint="eastAsia" w:ascii="Times New Roman" w:hAnsi="Times New Roman" w:cs="Times New Roman"/>
                <w:sz w:val="21"/>
                <w:szCs w:val="21"/>
                <w:lang w:eastAsia="zh-CN"/>
              </w:rPr>
              <w:t>）</w:t>
            </w:r>
            <w:r>
              <w:rPr>
                <w:rFonts w:hint="default" w:ascii="Times New Roman" w:hAnsi="Times New Roman" w:cs="Times New Roman"/>
                <w:sz w:val="21"/>
                <w:szCs w:val="21"/>
              </w:rPr>
              <w:t>/污染源</w:t>
            </w:r>
          </w:p>
        </w:tc>
        <w:tc>
          <w:tcPr>
            <w:tcW w:w="1268" w:type="dxa"/>
            <w:noWrap w:val="0"/>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污染物</w:t>
            </w:r>
          </w:p>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2544" w:type="dxa"/>
            <w:gridSpan w:val="2"/>
            <w:noWrap w:val="0"/>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环境保护措施</w:t>
            </w:r>
          </w:p>
        </w:tc>
        <w:tc>
          <w:tcPr>
            <w:tcW w:w="2638" w:type="dxa"/>
            <w:noWrap w:val="0"/>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3" w:type="dxa"/>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大气环境</w:t>
            </w:r>
          </w:p>
        </w:tc>
        <w:tc>
          <w:tcPr>
            <w:tcW w:w="1517" w:type="dxa"/>
            <w:noWrap w:val="0"/>
            <w:vAlign w:val="center"/>
          </w:tcPr>
          <w:p>
            <w:pPr>
              <w:adjustRightInd w:val="0"/>
              <w:snapToGrid w:val="0"/>
              <w:spacing w:line="240" w:lineRule="auto"/>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DA00</w:t>
            </w:r>
            <w:r>
              <w:rPr>
                <w:rFonts w:hint="eastAsia" w:ascii="Times New Roman" w:hAnsi="Times New Roman" w:cs="Times New Roman"/>
                <w:sz w:val="21"/>
                <w:szCs w:val="21"/>
                <w:lang w:val="en-US" w:eastAsia="zh-CN"/>
              </w:rPr>
              <w:t>1</w:t>
            </w:r>
          </w:p>
          <w:p>
            <w:pPr>
              <w:adjustRightInd w:val="0"/>
              <w:snapToGrid w:val="0"/>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熔炼</w:t>
            </w:r>
          </w:p>
        </w:tc>
        <w:tc>
          <w:tcPr>
            <w:tcW w:w="1268" w:type="dxa"/>
            <w:noWrap w:val="0"/>
            <w:vAlign w:val="center"/>
          </w:tcPr>
          <w:p>
            <w:pPr>
              <w:adjustRightInd w:val="0"/>
              <w:snapToGrid w:val="0"/>
              <w:spacing w:line="240" w:lineRule="auto"/>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颗粒物</w:t>
            </w:r>
          </w:p>
        </w:tc>
        <w:tc>
          <w:tcPr>
            <w:tcW w:w="2544" w:type="dxa"/>
            <w:gridSpan w:val="2"/>
            <w:noWrap w:val="0"/>
            <w:vAlign w:val="center"/>
          </w:tcPr>
          <w:p>
            <w:pPr>
              <w:adjustRightInd w:val="0"/>
              <w:snapToGrid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集气罩</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脉冲袋式除尘器</w:t>
            </w:r>
          </w:p>
          <w:p>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+15m </w:t>
            </w:r>
            <w:r>
              <w:rPr>
                <w:rFonts w:hint="eastAsia" w:ascii="Times New Roman" w:hAnsi="Times New Roman" w:cs="Times New Roman"/>
                <w:sz w:val="21"/>
                <w:szCs w:val="21"/>
                <w:lang w:val="en-US" w:eastAsia="zh-CN"/>
              </w:rPr>
              <w:t>高排气筒</w:t>
            </w:r>
          </w:p>
        </w:tc>
        <w:tc>
          <w:tcPr>
            <w:tcW w:w="2638" w:type="dxa"/>
            <w:noWrap w:val="0"/>
            <w:vAlign w:val="center"/>
          </w:tcPr>
          <w:p>
            <w:pPr>
              <w:adjustRightInd w:val="0"/>
              <w:snapToGrid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《铸造工业大气污染物排</w:t>
            </w:r>
          </w:p>
          <w:p>
            <w:pPr>
              <w:adjustRightInd w:val="0"/>
              <w:snapToGrid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放标准》（</w:t>
            </w:r>
            <w:r>
              <w:rPr>
                <w:rFonts w:hint="default" w:ascii="Times New Roman" w:hAnsi="Times New Roman" w:cs="Times New Roman"/>
                <w:sz w:val="21"/>
                <w:szCs w:val="21"/>
                <w:lang w:val="en-US" w:eastAsia="zh-CN"/>
              </w:rPr>
              <w:t>GB39726-</w:t>
            </w:r>
          </w:p>
          <w:p>
            <w:pPr>
              <w:adjustRightInd w:val="0"/>
              <w:snapToGrid w:val="0"/>
              <w:spacing w:line="240" w:lineRule="auto"/>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2020</w:t>
            </w:r>
            <w:r>
              <w:rPr>
                <w:rFonts w:hint="eastAsia" w:ascii="Times New Roman" w:hAnsi="Times New Roman" w:cs="Times New Roman"/>
                <w:sz w:val="21"/>
                <w:szCs w:val="21"/>
                <w:lang w:val="en-US" w:eastAsia="zh-CN"/>
              </w:rPr>
              <w:t xml:space="preserve">）表 </w:t>
            </w:r>
            <w:r>
              <w:rPr>
                <w:rFonts w:hint="default" w:ascii="Times New Roman" w:hAnsi="Times New Roman" w:cs="Times New Roman"/>
                <w:sz w:val="21"/>
                <w:szCs w:val="21"/>
                <w:lang w:val="en-US" w:eastAsia="zh-CN"/>
              </w:rPr>
              <w:t xml:space="preserve">1 </w:t>
            </w:r>
            <w:r>
              <w:rPr>
                <w:rFonts w:hint="eastAsia" w:ascii="Times New Roman" w:hAnsi="Times New Roman" w:cs="Times New Roman"/>
                <w:sz w:val="21"/>
                <w:szCs w:val="21"/>
                <w:lang w:val="en-US" w:eastAsia="zh-CN"/>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93"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517" w:type="dxa"/>
            <w:vMerge w:val="restart"/>
            <w:noWrap w:val="0"/>
            <w:vAlign w:val="center"/>
          </w:tcPr>
          <w:p>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DA00</w:t>
            </w:r>
            <w:r>
              <w:rPr>
                <w:rFonts w:hint="eastAsia" w:cs="Times New Roman"/>
                <w:sz w:val="21"/>
                <w:szCs w:val="21"/>
                <w:lang w:val="en-US" w:eastAsia="zh-CN"/>
              </w:rPr>
              <w:t>2</w:t>
            </w:r>
            <w:r>
              <w:rPr>
                <w:rFonts w:hint="eastAsia" w:ascii="Times New Roman" w:hAnsi="Times New Roman" w:cs="Times New Roman"/>
                <w:sz w:val="21"/>
                <w:szCs w:val="21"/>
                <w:lang w:val="en-US" w:eastAsia="zh-CN"/>
              </w:rPr>
              <w:t>浇注、砂处理</w:t>
            </w:r>
          </w:p>
        </w:tc>
        <w:tc>
          <w:tcPr>
            <w:tcW w:w="1268" w:type="dxa"/>
            <w:vMerge w:val="restart"/>
            <w:noWrap w:val="0"/>
            <w:vAlign w:val="center"/>
          </w:tcPr>
          <w:p>
            <w:pPr>
              <w:adjustRightInd w:val="0"/>
              <w:snapToGrid w:val="0"/>
              <w:spacing w:line="24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颗粒物</w:t>
            </w:r>
          </w:p>
        </w:tc>
        <w:tc>
          <w:tcPr>
            <w:tcW w:w="1347" w:type="dxa"/>
            <w:noWrap w:val="0"/>
            <w:vAlign w:val="center"/>
          </w:tcPr>
          <w:p>
            <w:pPr>
              <w:adjustRightInd w:val="0"/>
              <w:snapToGrid w:val="0"/>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浇注废气采用</w:t>
            </w:r>
            <w:r>
              <w:rPr>
                <w:rFonts w:hint="eastAsia" w:ascii="Times New Roman" w:hAnsi="Times New Roman" w:cs="Times New Roman"/>
                <w:sz w:val="21"/>
                <w:szCs w:val="21"/>
                <w:lang w:val="en-US" w:eastAsia="zh-CN"/>
              </w:rPr>
              <w:t>集气罩</w:t>
            </w:r>
            <w:r>
              <w:rPr>
                <w:rFonts w:hint="eastAsia" w:cs="Times New Roman"/>
                <w:sz w:val="21"/>
                <w:szCs w:val="21"/>
                <w:lang w:val="en-US" w:eastAsia="zh-CN"/>
              </w:rPr>
              <w:t>收集</w:t>
            </w:r>
          </w:p>
        </w:tc>
        <w:tc>
          <w:tcPr>
            <w:tcW w:w="1197" w:type="dxa"/>
            <w:vMerge w:val="restart"/>
            <w:noWrap w:val="0"/>
            <w:vAlign w:val="center"/>
          </w:tcPr>
          <w:p>
            <w:pPr>
              <w:adjustRightInd w:val="0"/>
              <w:snapToGrid w:val="0"/>
              <w:spacing w:line="24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布袋除尘器</w:t>
            </w:r>
            <w:r>
              <w:rPr>
                <w:rFonts w:hint="default" w:ascii="Times New Roman" w:hAnsi="Times New Roman" w:cs="Times New Roman"/>
                <w:sz w:val="21"/>
                <w:szCs w:val="21"/>
                <w:lang w:val="en-US" w:eastAsia="zh-CN"/>
              </w:rPr>
              <w:t xml:space="preserve">+15m </w:t>
            </w:r>
            <w:r>
              <w:rPr>
                <w:rFonts w:hint="eastAsia" w:ascii="Times New Roman" w:hAnsi="Times New Roman" w:cs="Times New Roman"/>
                <w:sz w:val="21"/>
                <w:szCs w:val="21"/>
                <w:lang w:val="en-US" w:eastAsia="zh-CN"/>
              </w:rPr>
              <w:t>高排气筒</w:t>
            </w:r>
          </w:p>
        </w:tc>
        <w:tc>
          <w:tcPr>
            <w:tcW w:w="2638" w:type="dxa"/>
            <w:vMerge w:val="restart"/>
            <w:noWrap w:val="0"/>
            <w:vAlign w:val="center"/>
          </w:tcPr>
          <w:p>
            <w:pPr>
              <w:adjustRightInd w:val="0"/>
              <w:snapToGrid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《铸造工业大气污染物排</w:t>
            </w:r>
          </w:p>
          <w:p>
            <w:pPr>
              <w:adjustRightInd w:val="0"/>
              <w:snapToGrid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放标准》（</w:t>
            </w:r>
            <w:r>
              <w:rPr>
                <w:rFonts w:hint="default" w:ascii="Times New Roman" w:hAnsi="Times New Roman" w:cs="Times New Roman"/>
                <w:sz w:val="21"/>
                <w:szCs w:val="21"/>
                <w:lang w:val="en-US" w:eastAsia="zh-CN"/>
              </w:rPr>
              <w:t>GB39726-</w:t>
            </w:r>
          </w:p>
          <w:p>
            <w:pPr>
              <w:adjustRightInd w:val="0"/>
              <w:snapToGrid w:val="0"/>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2020</w:t>
            </w:r>
            <w:r>
              <w:rPr>
                <w:rFonts w:hint="eastAsia" w:ascii="Times New Roman" w:hAnsi="Times New Roman" w:cs="Times New Roman"/>
                <w:sz w:val="21"/>
                <w:szCs w:val="21"/>
                <w:lang w:val="en-US" w:eastAsia="zh-CN"/>
              </w:rPr>
              <w:t xml:space="preserve">）表 </w:t>
            </w:r>
            <w:r>
              <w:rPr>
                <w:rFonts w:hint="default" w:ascii="Times New Roman" w:hAnsi="Times New Roman" w:cs="Times New Roman"/>
                <w:sz w:val="21"/>
                <w:szCs w:val="21"/>
                <w:lang w:val="en-US" w:eastAsia="zh-CN"/>
              </w:rPr>
              <w:t xml:space="preserve">1 </w:t>
            </w:r>
            <w:r>
              <w:rPr>
                <w:rFonts w:hint="eastAsia" w:ascii="Times New Roman" w:hAnsi="Times New Roman" w:cs="Times New Roman"/>
                <w:sz w:val="21"/>
                <w:szCs w:val="21"/>
                <w:lang w:val="en-US" w:eastAsia="zh-CN"/>
              </w:rPr>
              <w:t>标准</w:t>
            </w:r>
            <w:r>
              <w:rPr>
                <w:rFonts w:hint="eastAsia"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93" w:type="dxa"/>
            <w:vMerge w:val="continue"/>
            <w:noWrap w:val="0"/>
            <w:vAlign w:val="center"/>
          </w:tcPr>
          <w:p>
            <w:pPr>
              <w:adjustRightInd w:val="0"/>
              <w:snapToGrid w:val="0"/>
              <w:spacing w:line="240" w:lineRule="auto"/>
              <w:jc w:val="center"/>
            </w:pPr>
          </w:p>
        </w:tc>
        <w:tc>
          <w:tcPr>
            <w:tcW w:w="1517" w:type="dxa"/>
            <w:vMerge w:val="continue"/>
            <w:noWrap w:val="0"/>
            <w:vAlign w:val="center"/>
          </w:tcPr>
          <w:p>
            <w:pPr>
              <w:adjustRightInd w:val="0"/>
              <w:snapToGrid w:val="0"/>
              <w:spacing w:line="240" w:lineRule="auto"/>
              <w:jc w:val="center"/>
            </w:pPr>
          </w:p>
        </w:tc>
        <w:tc>
          <w:tcPr>
            <w:tcW w:w="1268" w:type="dxa"/>
            <w:vMerge w:val="continue"/>
            <w:noWrap w:val="0"/>
            <w:vAlign w:val="center"/>
          </w:tcPr>
          <w:p>
            <w:pPr>
              <w:adjustRightInd w:val="0"/>
              <w:snapToGrid w:val="0"/>
              <w:spacing w:line="240" w:lineRule="auto"/>
              <w:jc w:val="center"/>
            </w:pPr>
          </w:p>
        </w:tc>
        <w:tc>
          <w:tcPr>
            <w:tcW w:w="1347" w:type="dxa"/>
            <w:noWrap w:val="0"/>
            <w:vAlign w:val="center"/>
          </w:tcPr>
          <w:p>
            <w:pPr>
              <w:adjustRightInd w:val="0"/>
              <w:snapToGrid w:val="0"/>
              <w:spacing w:line="240" w:lineRule="auto"/>
              <w:jc w:val="center"/>
              <w:rPr>
                <w:rFonts w:hint="default" w:eastAsia="宋体"/>
                <w:lang w:val="en-US" w:eastAsia="zh-CN"/>
              </w:rPr>
            </w:pPr>
            <w:r>
              <w:rPr>
                <w:rFonts w:hint="eastAsia"/>
                <w:lang w:val="en-US" w:eastAsia="zh-CN"/>
              </w:rPr>
              <w:t>砂处理废气采用密闭罩收集</w:t>
            </w:r>
          </w:p>
        </w:tc>
        <w:tc>
          <w:tcPr>
            <w:tcW w:w="1197" w:type="dxa"/>
            <w:vMerge w:val="continue"/>
            <w:noWrap w:val="0"/>
            <w:vAlign w:val="center"/>
          </w:tcPr>
          <w:p>
            <w:pPr>
              <w:adjustRightInd w:val="0"/>
              <w:snapToGrid w:val="0"/>
              <w:spacing w:line="240" w:lineRule="auto"/>
              <w:jc w:val="center"/>
            </w:pPr>
          </w:p>
        </w:tc>
        <w:tc>
          <w:tcPr>
            <w:tcW w:w="2638" w:type="dxa"/>
            <w:vMerge w:val="continue"/>
            <w:noWrap w:val="0"/>
            <w:vAlign w:val="center"/>
          </w:tcPr>
          <w:p>
            <w:pPr>
              <w:adjustRightInd w:val="0"/>
              <w:snapToGrid w:val="0"/>
              <w:spacing w:line="240" w:lineRule="auto"/>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093"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517" w:type="dxa"/>
            <w:vMerge w:val="restart"/>
            <w:noWrap w:val="0"/>
            <w:vAlign w:val="center"/>
          </w:tcPr>
          <w:p>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DA0</w:t>
            </w:r>
            <w:r>
              <w:rPr>
                <w:rFonts w:hint="eastAsia" w:cs="Times New Roman"/>
                <w:sz w:val="21"/>
                <w:szCs w:val="21"/>
                <w:lang w:val="en-US" w:eastAsia="zh-CN"/>
              </w:rPr>
              <w:t>03</w:t>
            </w:r>
            <w:r>
              <w:rPr>
                <w:rFonts w:hint="default" w:ascii="Times New Roman" w:hAnsi="Times New Roman" w:cs="Times New Roman"/>
                <w:sz w:val="21"/>
                <w:szCs w:val="21"/>
              </w:rPr>
              <w:t>冷芯 盒射砂</w:t>
            </w:r>
          </w:p>
        </w:tc>
        <w:tc>
          <w:tcPr>
            <w:tcW w:w="1268" w:type="dxa"/>
            <w:noWrap w:val="0"/>
            <w:vAlign w:val="center"/>
          </w:tcPr>
          <w:p>
            <w:pPr>
              <w:adjustRightInd w:val="0"/>
              <w:snapToGrid w:val="0"/>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颗粒物</w:t>
            </w:r>
          </w:p>
        </w:tc>
        <w:tc>
          <w:tcPr>
            <w:tcW w:w="2544" w:type="dxa"/>
            <w:gridSpan w:val="2"/>
            <w:vMerge w:val="restart"/>
            <w:noWrap w:val="0"/>
            <w:vAlign w:val="center"/>
          </w:tcPr>
          <w:p>
            <w:pPr>
              <w:adjustRightInd w:val="0"/>
              <w:snapToGrid w:val="0"/>
              <w:spacing w:line="240" w:lineRule="auto"/>
              <w:jc w:val="center"/>
              <w:rPr>
                <w:rFonts w:hint="eastAsia" w:ascii="Times New Roman" w:hAnsi="Times New Roman" w:cs="Times New Roman"/>
                <w:sz w:val="21"/>
                <w:szCs w:val="21"/>
                <w:lang w:val="en-US" w:eastAsia="zh-CN"/>
              </w:rPr>
            </w:pPr>
            <w:r>
              <w:rPr>
                <w:rFonts w:hint="eastAsia" w:cs="Times New Roman"/>
                <w:sz w:val="21"/>
                <w:szCs w:val="21"/>
                <w:lang w:val="en-US" w:eastAsia="zh-CN"/>
              </w:rPr>
              <w:t>集气罩</w:t>
            </w:r>
            <w:r>
              <w:rPr>
                <w:rFonts w:hint="default" w:ascii="Times New Roman" w:hAnsi="Times New Roman" w:cs="Times New Roman"/>
                <w:sz w:val="21"/>
                <w:szCs w:val="21"/>
              </w:rPr>
              <w:t>+</w:t>
            </w:r>
            <w:r>
              <w:rPr>
                <w:rFonts w:hint="eastAsia" w:cs="Times New Roman"/>
                <w:sz w:val="21"/>
                <w:szCs w:val="21"/>
                <w:lang w:eastAsia="zh-CN"/>
              </w:rPr>
              <w:t>滤芯除尘器</w:t>
            </w:r>
            <w:r>
              <w:rPr>
                <w:rFonts w:hint="default" w:ascii="Times New Roman" w:hAnsi="Times New Roman" w:cs="Times New Roman"/>
                <w:sz w:val="21"/>
                <w:szCs w:val="21"/>
              </w:rPr>
              <w:t>+</w:t>
            </w:r>
            <w:r>
              <w:rPr>
                <w:rFonts w:hint="eastAsia" w:cs="Times New Roman"/>
                <w:sz w:val="21"/>
                <w:szCs w:val="21"/>
                <w:lang w:val="en-US" w:eastAsia="zh-CN"/>
              </w:rPr>
              <w:t>磷酸喷淋吸收工艺</w:t>
            </w:r>
            <w:r>
              <w:rPr>
                <w:rFonts w:hint="default" w:ascii="Times New Roman" w:hAnsi="Times New Roman" w:cs="Times New Roman"/>
                <w:sz w:val="21"/>
                <w:szCs w:val="21"/>
              </w:rPr>
              <w:t>+15m 高排气筒</w:t>
            </w:r>
          </w:p>
        </w:tc>
        <w:tc>
          <w:tcPr>
            <w:tcW w:w="2638" w:type="dxa"/>
            <w:noWrap w:val="0"/>
            <w:vAlign w:val="top"/>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《铸造工业大气污染物排</w:t>
            </w:r>
          </w:p>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放标准》（GB39726-</w:t>
            </w:r>
          </w:p>
          <w:p>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2020）表 1 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3"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517" w:type="dxa"/>
            <w:vMerge w:val="continue"/>
            <w:noWrap w:val="0"/>
            <w:vAlign w:val="center"/>
          </w:tcPr>
          <w:p>
            <w:pPr>
              <w:adjustRightInd w:val="0"/>
              <w:snapToGrid w:val="0"/>
              <w:spacing w:line="240" w:lineRule="auto"/>
              <w:jc w:val="center"/>
              <w:rPr>
                <w:rFonts w:hint="default" w:ascii="Times New Roman" w:hAnsi="Times New Roman" w:cs="Times New Roman"/>
                <w:sz w:val="21"/>
                <w:szCs w:val="21"/>
              </w:rPr>
            </w:pPr>
          </w:p>
        </w:tc>
        <w:tc>
          <w:tcPr>
            <w:tcW w:w="1268" w:type="dxa"/>
            <w:noWrap w:val="0"/>
            <w:vAlign w:val="center"/>
          </w:tcPr>
          <w:p>
            <w:pPr>
              <w:adjustRightInd w:val="0"/>
              <w:snapToGrid w:val="0"/>
              <w:spacing w:line="240" w:lineRule="auto"/>
              <w:jc w:val="center"/>
              <w:rPr>
                <w:rFonts w:hint="eastAsia" w:ascii="Times New Roman" w:hAnsi="Times New Roman" w:cs="Times New Roman"/>
                <w:sz w:val="21"/>
                <w:szCs w:val="21"/>
                <w:lang w:val="en-US" w:eastAsia="zh-CN"/>
              </w:rPr>
            </w:pPr>
            <w:r>
              <w:rPr>
                <w:rFonts w:hint="eastAsia" w:cs="Times New Roman"/>
                <w:sz w:val="21"/>
                <w:szCs w:val="21"/>
                <w:lang w:val="en-US" w:eastAsia="zh-CN"/>
              </w:rPr>
              <w:t>（三乙胺）臭气浓度</w:t>
            </w:r>
          </w:p>
        </w:tc>
        <w:tc>
          <w:tcPr>
            <w:tcW w:w="2544" w:type="dxa"/>
            <w:gridSpan w:val="2"/>
            <w:vMerge w:val="continue"/>
            <w:noWrap w:val="0"/>
            <w:vAlign w:val="top"/>
          </w:tcPr>
          <w:p>
            <w:pPr>
              <w:adjustRightInd w:val="0"/>
              <w:snapToGrid w:val="0"/>
              <w:spacing w:line="240" w:lineRule="auto"/>
              <w:jc w:val="center"/>
              <w:rPr>
                <w:rFonts w:hint="default" w:ascii="Times New Roman" w:hAnsi="Times New Roman" w:cs="Times New Roman"/>
                <w:sz w:val="21"/>
                <w:szCs w:val="21"/>
              </w:rPr>
            </w:pPr>
          </w:p>
        </w:tc>
        <w:tc>
          <w:tcPr>
            <w:tcW w:w="2638" w:type="dxa"/>
            <w:noWrap w:val="0"/>
            <w:vAlign w:val="top"/>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《恶臭污染物排放标准》（GB14554-93）相应标准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3"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517" w:type="dxa"/>
            <w:noWrap w:val="0"/>
            <w:vAlign w:val="center"/>
          </w:tcPr>
          <w:p>
            <w:pPr>
              <w:adjustRightInd w:val="0"/>
              <w:snapToGrid w:val="0"/>
              <w:spacing w:line="240" w:lineRule="auto"/>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DA00</w:t>
            </w:r>
            <w:r>
              <w:rPr>
                <w:rFonts w:hint="eastAsia" w:cs="Times New Roman"/>
                <w:sz w:val="21"/>
                <w:szCs w:val="21"/>
                <w:lang w:val="en-US" w:eastAsia="zh-CN"/>
              </w:rPr>
              <w:t>4</w:t>
            </w:r>
          </w:p>
          <w:p>
            <w:pPr>
              <w:adjustRightInd w:val="0"/>
              <w:snapToGrid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铸件抛丸清理</w:t>
            </w:r>
          </w:p>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p>
        </w:tc>
        <w:tc>
          <w:tcPr>
            <w:tcW w:w="1268" w:type="dxa"/>
            <w:noWrap w:val="0"/>
            <w:vAlign w:val="center"/>
          </w:tcPr>
          <w:p>
            <w:pPr>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颗粒物</w:t>
            </w:r>
          </w:p>
        </w:tc>
        <w:tc>
          <w:tcPr>
            <w:tcW w:w="2544" w:type="dxa"/>
            <w:gridSpan w:val="2"/>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布袋除尘器</w:t>
            </w:r>
            <w:r>
              <w:rPr>
                <w:rFonts w:hint="default" w:ascii="Times New Roman" w:hAnsi="Times New Roman" w:cs="Times New Roman"/>
                <w:sz w:val="21"/>
                <w:szCs w:val="21"/>
                <w:lang w:val="en-US" w:eastAsia="zh-CN"/>
              </w:rPr>
              <w:t>+15m</w:t>
            </w:r>
            <w:r>
              <w:rPr>
                <w:rFonts w:hint="eastAsia" w:ascii="Times New Roman" w:hAnsi="Times New Roman" w:cs="Times New Roman"/>
                <w:sz w:val="21"/>
                <w:szCs w:val="21"/>
                <w:lang w:val="en-US" w:eastAsia="zh-CN"/>
              </w:rPr>
              <w:t>高排气筒</w:t>
            </w:r>
          </w:p>
        </w:tc>
        <w:tc>
          <w:tcPr>
            <w:tcW w:w="2638" w:type="dxa"/>
            <w:noWrap w:val="0"/>
            <w:vAlign w:val="center"/>
          </w:tcPr>
          <w:p>
            <w:pPr>
              <w:adjustRightInd w:val="0"/>
              <w:snapToGrid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《铸造工业大气污染物排</w:t>
            </w:r>
          </w:p>
          <w:p>
            <w:pPr>
              <w:adjustRightInd w:val="0"/>
              <w:snapToGrid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放标准》（</w:t>
            </w:r>
            <w:r>
              <w:rPr>
                <w:rFonts w:hint="default" w:ascii="Times New Roman" w:hAnsi="Times New Roman" w:cs="Times New Roman"/>
                <w:sz w:val="21"/>
                <w:szCs w:val="21"/>
                <w:lang w:val="en-US" w:eastAsia="zh-CN"/>
              </w:rPr>
              <w:t>GB39726-</w:t>
            </w:r>
          </w:p>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2020</w:t>
            </w:r>
            <w:r>
              <w:rPr>
                <w:rFonts w:hint="eastAsia" w:ascii="Times New Roman" w:hAnsi="Times New Roman" w:cs="Times New Roman"/>
                <w:sz w:val="21"/>
                <w:szCs w:val="21"/>
                <w:lang w:val="en-US" w:eastAsia="zh-CN"/>
              </w:rPr>
              <w:t xml:space="preserve">）表 </w:t>
            </w:r>
            <w:r>
              <w:rPr>
                <w:rFonts w:hint="default" w:ascii="Times New Roman" w:hAnsi="Times New Roman" w:cs="Times New Roman"/>
                <w:sz w:val="21"/>
                <w:szCs w:val="21"/>
                <w:lang w:val="en-US" w:eastAsia="zh-CN"/>
              </w:rPr>
              <w:t xml:space="preserve">1 </w:t>
            </w:r>
            <w:r>
              <w:rPr>
                <w:rFonts w:hint="eastAsia" w:ascii="Times New Roman" w:hAnsi="Times New Roman" w:cs="Times New Roman"/>
                <w:sz w:val="21"/>
                <w:szCs w:val="21"/>
                <w:lang w:val="en-US" w:eastAsia="zh-CN"/>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地表水环境</w:t>
            </w:r>
          </w:p>
        </w:tc>
        <w:tc>
          <w:tcPr>
            <w:tcW w:w="1517" w:type="dxa"/>
            <w:noWrap w:val="0"/>
            <w:vAlign w:val="center"/>
          </w:tcPr>
          <w:p>
            <w:pPr>
              <w:adjustRightInd w:val="0"/>
              <w:snapToGrid w:val="0"/>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w:t>
            </w:r>
          </w:p>
        </w:tc>
        <w:tc>
          <w:tcPr>
            <w:tcW w:w="12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sz w:val="21"/>
                <w:szCs w:val="21"/>
                <w:lang w:val="en-US" w:eastAsia="zh-CN"/>
              </w:rPr>
            </w:pPr>
            <w:r>
              <w:rPr>
                <w:rFonts w:hint="eastAsia"/>
                <w:sz w:val="21"/>
                <w:szCs w:val="21"/>
                <w:lang w:val="en-US" w:eastAsia="zh-CN"/>
              </w:rPr>
              <w:t>COD、氨氮</w:t>
            </w:r>
          </w:p>
        </w:tc>
        <w:tc>
          <w:tcPr>
            <w:tcW w:w="2544" w:type="dxa"/>
            <w:gridSpan w:val="2"/>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经</w:t>
            </w:r>
            <w:r>
              <w:rPr>
                <w:rFonts w:hint="eastAsia" w:cs="Times New Roman"/>
                <w:sz w:val="21"/>
                <w:szCs w:val="21"/>
                <w:lang w:val="en-US" w:eastAsia="zh-CN"/>
              </w:rPr>
              <w:t>旱厕</w:t>
            </w:r>
            <w:r>
              <w:rPr>
                <w:rFonts w:hint="eastAsia" w:ascii="Times New Roman" w:hAnsi="Times New Roman" w:cs="Times New Roman"/>
                <w:sz w:val="21"/>
                <w:szCs w:val="21"/>
                <w:lang w:eastAsia="zh-CN"/>
              </w:rPr>
              <w:t>处理</w:t>
            </w:r>
            <w:r>
              <w:rPr>
                <w:rFonts w:hint="eastAsia" w:cs="Times New Roman"/>
                <w:sz w:val="21"/>
                <w:szCs w:val="21"/>
                <w:lang w:val="en-US" w:eastAsia="zh-CN"/>
              </w:rPr>
              <w:t>作为农肥利用</w:t>
            </w:r>
          </w:p>
        </w:tc>
        <w:tc>
          <w:tcPr>
            <w:tcW w:w="2638"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3"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声环境</w:t>
            </w:r>
          </w:p>
        </w:tc>
        <w:tc>
          <w:tcPr>
            <w:tcW w:w="1517" w:type="dxa"/>
            <w:noWrap w:val="0"/>
            <w:vAlign w:val="center"/>
          </w:tcPr>
          <w:p>
            <w:pPr>
              <w:adjustRightInd w:val="0"/>
              <w:snapToGrid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厂界</w:t>
            </w:r>
          </w:p>
        </w:tc>
        <w:tc>
          <w:tcPr>
            <w:tcW w:w="1268" w:type="dxa"/>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噪声</w:t>
            </w:r>
          </w:p>
        </w:tc>
        <w:tc>
          <w:tcPr>
            <w:tcW w:w="2544" w:type="dxa"/>
            <w:gridSpan w:val="2"/>
            <w:noWrap w:val="0"/>
            <w:vAlign w:val="center"/>
          </w:tcPr>
          <w:p>
            <w:pPr>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生产设备均布置于厂房内，产噪设备加装减震装置，风机安装隔声罩。</w:t>
            </w:r>
          </w:p>
        </w:tc>
        <w:tc>
          <w:tcPr>
            <w:tcW w:w="2638"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right="-40" w:rightChars="0"/>
              <w:jc w:val="both"/>
              <w:textAlignment w:val="auto"/>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《工业企业厂界环境噪声排放标准》（GB12348-2008）</w:t>
            </w:r>
            <w:r>
              <w:rPr>
                <w:rFonts w:hint="eastAsia" w:ascii="Times New Roman" w:hAnsi="Times New Roman" w:cs="Times New Roman"/>
                <w:sz w:val="21"/>
                <w:szCs w:val="21"/>
                <w:lang w:eastAsia="zh-CN"/>
              </w:rPr>
              <w:t>中</w:t>
            </w:r>
            <w:r>
              <w:rPr>
                <w:rFonts w:hint="eastAsia" w:cs="Times New Roman"/>
                <w:sz w:val="21"/>
                <w:szCs w:val="21"/>
                <w:lang w:val="en-US" w:eastAsia="zh-CN"/>
              </w:rPr>
              <w:t>2</w:t>
            </w:r>
            <w:r>
              <w:rPr>
                <w:rFonts w:hint="default" w:ascii="Times New Roman" w:hAnsi="Times New Roman" w:cs="Times New Roman"/>
                <w:sz w:val="21"/>
                <w:szCs w:val="21"/>
              </w:rPr>
              <w:t>类标准</w:t>
            </w:r>
            <w:r>
              <w:rPr>
                <w:rFonts w:hint="eastAsia" w:ascii="Times New Roman" w:hAnsi="Times New Roman" w:cs="Times New Roman"/>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3"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电磁辐射</w:t>
            </w:r>
          </w:p>
        </w:tc>
        <w:tc>
          <w:tcPr>
            <w:tcW w:w="1517" w:type="dxa"/>
            <w:noWrap w:val="0"/>
            <w:vAlign w:val="center"/>
          </w:tcPr>
          <w:p>
            <w:pPr>
              <w:adjustRightInd w:val="0"/>
              <w:snapToGrid w:val="0"/>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w:t>
            </w:r>
          </w:p>
        </w:tc>
        <w:tc>
          <w:tcPr>
            <w:tcW w:w="1268" w:type="dxa"/>
            <w:noWrap w:val="0"/>
            <w:vAlign w:val="center"/>
          </w:tcPr>
          <w:p>
            <w:pPr>
              <w:adjustRightInd w:val="0"/>
              <w:snapToGrid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w:t>
            </w:r>
          </w:p>
        </w:tc>
        <w:tc>
          <w:tcPr>
            <w:tcW w:w="2544" w:type="dxa"/>
            <w:gridSpan w:val="2"/>
            <w:noWrap w:val="0"/>
            <w:vAlign w:val="center"/>
          </w:tcPr>
          <w:p>
            <w:pPr>
              <w:adjustRightInd w:val="0"/>
              <w:snapToGrid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w:t>
            </w:r>
          </w:p>
        </w:tc>
        <w:tc>
          <w:tcPr>
            <w:tcW w:w="2638" w:type="dxa"/>
            <w:noWrap w:val="0"/>
            <w:vAlign w:val="center"/>
          </w:tcPr>
          <w:p>
            <w:pPr>
              <w:adjustRightInd w:val="0"/>
              <w:snapToGrid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93" w:type="dxa"/>
            <w:noWrap w:val="0"/>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固体废物</w:t>
            </w:r>
          </w:p>
        </w:tc>
        <w:tc>
          <w:tcPr>
            <w:tcW w:w="7967"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before="60" w:after="60"/>
              <w:jc w:val="both"/>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生活垃圾收集后交由环卫部门清运、处理。</w:t>
            </w:r>
            <w:r>
              <w:rPr>
                <w:rFonts w:hint="eastAsia"/>
                <w:color w:val="auto"/>
                <w:sz w:val="21"/>
                <w:szCs w:val="21"/>
                <w:lang w:eastAsia="zh-CN"/>
              </w:rPr>
              <w:t>厂区西</w:t>
            </w:r>
            <w:r>
              <w:rPr>
                <w:rFonts w:hint="eastAsia"/>
                <w:color w:val="auto"/>
                <w:sz w:val="21"/>
                <w:szCs w:val="21"/>
                <w:lang w:val="en-US" w:eastAsia="zh-CN"/>
              </w:rPr>
              <w:t>北</w:t>
            </w:r>
            <w:r>
              <w:rPr>
                <w:rFonts w:hint="eastAsia"/>
                <w:color w:val="auto"/>
                <w:sz w:val="21"/>
                <w:szCs w:val="21"/>
                <w:lang w:eastAsia="zh-CN"/>
              </w:rPr>
              <w:t>侧新建</w:t>
            </w:r>
            <w:r>
              <w:rPr>
                <w:rFonts w:hint="eastAsia"/>
                <w:color w:val="auto"/>
                <w:sz w:val="21"/>
                <w:szCs w:val="21"/>
                <w:lang w:val="en-US" w:eastAsia="zh-CN"/>
              </w:rPr>
              <w:t>1间30</w:t>
            </w:r>
            <w:r>
              <w:rPr>
                <w:rFonts w:hint="eastAsia"/>
                <w:color w:val="auto"/>
                <w:sz w:val="21"/>
                <w:szCs w:val="21"/>
                <w:lang w:eastAsia="zh-CN"/>
              </w:rPr>
              <w:t>m</w:t>
            </w:r>
            <w:r>
              <w:rPr>
                <w:rFonts w:hint="eastAsia"/>
                <w:color w:val="auto"/>
                <w:sz w:val="21"/>
                <w:szCs w:val="21"/>
                <w:vertAlign w:val="superscript"/>
                <w:lang w:eastAsia="zh-CN"/>
              </w:rPr>
              <w:t>2</w:t>
            </w:r>
            <w:r>
              <w:rPr>
                <w:rFonts w:hint="eastAsia"/>
                <w:color w:val="auto"/>
                <w:sz w:val="21"/>
                <w:szCs w:val="21"/>
                <w:lang w:eastAsia="zh-CN"/>
              </w:rPr>
              <w:t>的一般工业固体废物暂存间，各类一般工业固体废物分类收集暂存，定期外售综合利用。厂区西</w:t>
            </w:r>
            <w:r>
              <w:rPr>
                <w:rFonts w:hint="eastAsia"/>
                <w:color w:val="auto"/>
                <w:sz w:val="21"/>
                <w:szCs w:val="21"/>
                <w:lang w:val="en-US" w:eastAsia="zh-CN"/>
              </w:rPr>
              <w:t>北</w:t>
            </w:r>
            <w:r>
              <w:rPr>
                <w:rFonts w:hint="eastAsia"/>
                <w:color w:val="auto"/>
                <w:sz w:val="21"/>
                <w:szCs w:val="21"/>
                <w:lang w:eastAsia="zh-CN"/>
              </w:rPr>
              <w:t>侧新建</w:t>
            </w:r>
            <w:r>
              <w:rPr>
                <w:rFonts w:hint="eastAsia"/>
                <w:color w:val="auto"/>
                <w:sz w:val="21"/>
                <w:szCs w:val="21"/>
                <w:lang w:val="en-US" w:eastAsia="zh-CN"/>
              </w:rPr>
              <w:t>1间10</w:t>
            </w:r>
            <w:r>
              <w:rPr>
                <w:rFonts w:hint="eastAsia"/>
                <w:color w:val="auto"/>
                <w:sz w:val="21"/>
                <w:szCs w:val="21"/>
                <w:lang w:eastAsia="zh-CN"/>
              </w:rPr>
              <w:t>m</w:t>
            </w:r>
            <w:r>
              <w:rPr>
                <w:rFonts w:hint="eastAsia"/>
                <w:color w:val="auto"/>
                <w:sz w:val="21"/>
                <w:szCs w:val="21"/>
                <w:vertAlign w:val="superscript"/>
                <w:lang w:eastAsia="zh-CN"/>
              </w:rPr>
              <w:t>2</w:t>
            </w:r>
            <w:r>
              <w:rPr>
                <w:rFonts w:hint="eastAsia"/>
                <w:color w:val="auto"/>
                <w:sz w:val="21"/>
                <w:szCs w:val="21"/>
                <w:lang w:eastAsia="zh-CN"/>
              </w:rPr>
              <w:t>的危险废物暂存库，各类危险废物分类收集暂存，定期</w:t>
            </w:r>
            <w:r>
              <w:rPr>
                <w:rFonts w:hint="eastAsia"/>
                <w:color w:val="auto"/>
                <w:sz w:val="21"/>
                <w:szCs w:val="21"/>
                <w:lang w:val="en-US" w:eastAsia="zh-CN"/>
              </w:rPr>
              <w:t>委托资质单位处置。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93"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土壤及地下水污染防治措施</w:t>
            </w:r>
          </w:p>
        </w:tc>
        <w:tc>
          <w:tcPr>
            <w:tcW w:w="7967" w:type="dxa"/>
            <w:gridSpan w:val="5"/>
            <w:noWrap w:val="0"/>
            <w:vAlign w:val="center"/>
          </w:tcPr>
          <w:p>
            <w:pPr>
              <w:pStyle w:val="68"/>
              <w:bidi w:val="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color w:val="auto"/>
                <w:kern w:val="0"/>
                <w:sz w:val="21"/>
                <w:szCs w:val="20"/>
                <w:lang w:val="en-US" w:eastAsia="zh-CN" w:bidi="ar-SA"/>
              </w:rPr>
              <w:t>采取“源头控制，</w:t>
            </w:r>
            <w:r>
              <w:rPr>
                <w:rFonts w:hint="default" w:ascii="Times New Roman" w:hAnsi="Times New Roman" w:eastAsia="宋体" w:cs="Times New Roman"/>
                <w:b w:val="0"/>
                <w:bCs/>
                <w:color w:val="auto"/>
                <w:kern w:val="0"/>
                <w:sz w:val="21"/>
                <w:szCs w:val="20"/>
                <w:lang w:val="en-US" w:eastAsia="zh-CN" w:bidi="ar-SA"/>
              </w:rPr>
              <w:t>分区防渗</w:t>
            </w:r>
            <w:r>
              <w:rPr>
                <w:rFonts w:hint="eastAsia" w:ascii="Times New Roman" w:hAnsi="Times New Roman" w:eastAsia="宋体" w:cs="Times New Roman"/>
                <w:b w:val="0"/>
                <w:bCs/>
                <w:color w:val="auto"/>
                <w:kern w:val="0"/>
                <w:sz w:val="21"/>
                <w:szCs w:val="20"/>
                <w:lang w:val="en-US" w:eastAsia="zh-CN" w:bidi="ar-SA"/>
              </w:rPr>
              <w:t>”。</w:t>
            </w:r>
            <w:r>
              <w:rPr>
                <w:rFonts w:hint="eastAsia" w:ascii="Times New Roman" w:hAnsi="Times New Roman" w:eastAsia="宋体" w:cs="Times New Roman"/>
                <w:b w:val="0"/>
                <w:bCs/>
                <w:color w:val="auto"/>
                <w:kern w:val="0"/>
                <w:sz w:val="21"/>
                <w:szCs w:val="20"/>
                <w:lang w:val="en-US" w:eastAsia="zh-CN" w:bidi="ar-SA"/>
              </w:rPr>
              <w:fldChar w:fldCharType="begin"/>
            </w:r>
            <w:r>
              <w:rPr>
                <w:rFonts w:hint="eastAsia" w:ascii="Times New Roman" w:hAnsi="Times New Roman" w:eastAsia="宋体" w:cs="Times New Roman"/>
                <w:b w:val="0"/>
                <w:bCs/>
                <w:color w:val="auto"/>
                <w:kern w:val="0"/>
                <w:sz w:val="21"/>
                <w:szCs w:val="20"/>
                <w:lang w:val="en-US" w:eastAsia="zh-CN" w:bidi="ar-SA"/>
              </w:rPr>
              <w:instrText xml:space="preserve"> = 1 \* GB3 \* MERGEFORMAT </w:instrText>
            </w:r>
            <w:r>
              <w:rPr>
                <w:rFonts w:hint="eastAsia" w:ascii="Times New Roman" w:hAnsi="Times New Roman" w:eastAsia="宋体" w:cs="Times New Roman"/>
                <w:b w:val="0"/>
                <w:bCs/>
                <w:color w:val="auto"/>
                <w:kern w:val="0"/>
                <w:sz w:val="21"/>
                <w:szCs w:val="20"/>
                <w:lang w:val="en-US" w:eastAsia="zh-CN" w:bidi="ar-SA"/>
              </w:rPr>
              <w:fldChar w:fldCharType="separate"/>
            </w:r>
            <w:r>
              <w:t>①</w:t>
            </w:r>
            <w:r>
              <w:rPr>
                <w:rFonts w:hint="eastAsia" w:ascii="Times New Roman" w:hAnsi="Times New Roman" w:eastAsia="宋体" w:cs="Times New Roman"/>
                <w:b w:val="0"/>
                <w:bCs/>
                <w:color w:val="auto"/>
                <w:kern w:val="0"/>
                <w:sz w:val="21"/>
                <w:szCs w:val="20"/>
                <w:lang w:val="en-US" w:eastAsia="zh-CN" w:bidi="ar-SA"/>
              </w:rPr>
              <w:fldChar w:fldCharType="end"/>
            </w:r>
            <w:r>
              <w:rPr>
                <w:rFonts w:hint="eastAsia" w:cs="Times New Roman"/>
                <w:b w:val="0"/>
                <w:bCs/>
                <w:color w:val="auto"/>
                <w:kern w:val="0"/>
                <w:sz w:val="21"/>
                <w:szCs w:val="20"/>
                <w:lang w:val="en-US" w:eastAsia="zh-CN" w:bidi="ar-SA"/>
              </w:rPr>
              <w:t>树脂、固化剂、三乙胺采用桶装暂存在辅料库内</w:t>
            </w:r>
            <w:r>
              <w:rPr>
                <w:rFonts w:hint="default" w:ascii="Times New Roman" w:hAnsi="Times New Roman" w:eastAsia="宋体" w:cs="Times New Roman"/>
                <w:b w:val="0"/>
                <w:bCs/>
                <w:color w:val="auto"/>
                <w:kern w:val="0"/>
                <w:sz w:val="21"/>
                <w:szCs w:val="20"/>
                <w:lang w:val="en-US" w:eastAsia="zh-CN" w:bidi="ar-SA"/>
              </w:rPr>
              <w:fldChar w:fldCharType="begin"/>
            </w:r>
            <w:r>
              <w:rPr>
                <w:rFonts w:hint="default" w:ascii="Times New Roman" w:hAnsi="Times New Roman" w:eastAsia="宋体" w:cs="Times New Roman"/>
                <w:b w:val="0"/>
                <w:bCs/>
                <w:color w:val="auto"/>
                <w:kern w:val="0"/>
                <w:sz w:val="21"/>
                <w:szCs w:val="20"/>
                <w:lang w:val="en-US" w:eastAsia="zh-CN" w:bidi="ar-SA"/>
              </w:rPr>
              <w:instrText xml:space="preserve"> = 2 \* GB3 \* MERGEFORMAT </w:instrText>
            </w:r>
            <w:r>
              <w:rPr>
                <w:rFonts w:hint="default" w:ascii="Times New Roman" w:hAnsi="Times New Roman" w:eastAsia="宋体" w:cs="Times New Roman"/>
                <w:b w:val="0"/>
                <w:bCs/>
                <w:color w:val="auto"/>
                <w:kern w:val="0"/>
                <w:sz w:val="21"/>
                <w:szCs w:val="20"/>
                <w:lang w:val="en-US" w:eastAsia="zh-CN" w:bidi="ar-SA"/>
              </w:rPr>
              <w:fldChar w:fldCharType="separate"/>
            </w:r>
            <w:r>
              <w:t>②</w:t>
            </w:r>
            <w:r>
              <w:rPr>
                <w:rFonts w:hint="default" w:ascii="Times New Roman" w:hAnsi="Times New Roman" w:eastAsia="宋体" w:cs="Times New Roman"/>
                <w:b w:val="0"/>
                <w:bCs/>
                <w:color w:val="auto"/>
                <w:kern w:val="0"/>
                <w:sz w:val="21"/>
                <w:szCs w:val="20"/>
                <w:lang w:val="en-US" w:eastAsia="zh-CN" w:bidi="ar-SA"/>
              </w:rPr>
              <w:fldChar w:fldCharType="end"/>
            </w:r>
            <w:r>
              <w:rPr>
                <w:rFonts w:hint="eastAsia" w:ascii="Times New Roman" w:hAnsi="Times New Roman" w:eastAsia="宋体" w:cs="Times New Roman"/>
                <w:b w:val="0"/>
                <w:bCs/>
                <w:color w:val="auto"/>
                <w:kern w:val="0"/>
                <w:sz w:val="21"/>
                <w:szCs w:val="20"/>
                <w:lang w:val="en-US" w:eastAsia="zh-CN" w:bidi="ar-SA"/>
              </w:rPr>
              <w:t>生产区域分区防渗，</w:t>
            </w:r>
            <w:r>
              <w:rPr>
                <w:rFonts w:hint="eastAsia" w:eastAsia="宋体"/>
                <w:b w:val="0"/>
                <w:bCs/>
                <w:lang w:eastAsia="zh-CN"/>
              </w:rPr>
              <w:t>重点防治区：</w:t>
            </w:r>
            <w:r>
              <w:rPr>
                <w:rFonts w:hint="eastAsia"/>
                <w:b w:val="0"/>
                <w:bCs/>
                <w:lang w:val="en-US" w:eastAsia="zh-CN"/>
              </w:rPr>
              <w:t>辅料</w:t>
            </w:r>
            <w:r>
              <w:rPr>
                <w:rFonts w:hint="eastAsia" w:eastAsia="宋体"/>
                <w:b w:val="0"/>
                <w:bCs/>
                <w:lang w:eastAsia="zh-CN"/>
              </w:rPr>
              <w:t>房、</w:t>
            </w:r>
            <w:r>
              <w:rPr>
                <w:rFonts w:hint="eastAsia"/>
                <w:b w:val="0"/>
                <w:bCs/>
                <w:lang w:val="en-US" w:eastAsia="zh-CN"/>
              </w:rPr>
              <w:t>危险废物暂存库</w:t>
            </w:r>
            <w:r>
              <w:rPr>
                <w:rFonts w:hint="eastAsia" w:eastAsia="宋体"/>
                <w:b w:val="0"/>
                <w:bCs/>
                <w:lang w:eastAsia="zh-CN"/>
              </w:rPr>
              <w:t>均采用“地面硬化+防渗涂料”的防渗措施，等效黏土防渗层Mb≥6.0m，K≤1×10</w:t>
            </w:r>
            <w:r>
              <w:rPr>
                <w:rFonts w:hint="eastAsia" w:eastAsia="宋体"/>
                <w:b w:val="0"/>
                <w:bCs/>
                <w:vertAlign w:val="superscript"/>
                <w:lang w:eastAsia="zh-CN"/>
              </w:rPr>
              <w:t>-7</w:t>
            </w:r>
            <w:r>
              <w:rPr>
                <w:rFonts w:hint="eastAsia" w:eastAsia="宋体"/>
                <w:b w:val="0"/>
                <w:bCs/>
                <w:lang w:eastAsia="zh-CN"/>
              </w:rPr>
              <w:t>。一般防渗区（其余生产区）：地面进行防渗，防渗效果等效黏土防渗层Mb≥1.5m，K≤1×10</w:t>
            </w:r>
            <w:r>
              <w:rPr>
                <w:rFonts w:hint="eastAsia" w:eastAsia="宋体"/>
                <w:b w:val="0"/>
                <w:bCs/>
                <w:vertAlign w:val="superscript"/>
                <w:lang w:eastAsia="zh-CN"/>
              </w:rPr>
              <w:t>-7</w:t>
            </w:r>
            <w:r>
              <w:rPr>
                <w:rFonts w:hint="eastAsia" w:eastAsia="宋体"/>
                <w:b w:val="0"/>
                <w:bCs/>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生态保护</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措施</w:t>
            </w:r>
          </w:p>
        </w:tc>
        <w:tc>
          <w:tcPr>
            <w:tcW w:w="7967" w:type="dxa"/>
            <w:gridSpan w:val="5"/>
            <w:noWrap w:val="0"/>
            <w:vAlign w:val="center"/>
          </w:tcPr>
          <w:p>
            <w:pPr>
              <w:adjustRightInd w:val="0"/>
              <w:snapToGrid w:val="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3" w:type="dxa"/>
            <w:noWrap w:val="0"/>
            <w:vAlign w:val="center"/>
          </w:tcPr>
          <w:p>
            <w:pPr>
              <w:adjustRightInd w:val="0"/>
              <w:snapToGrid w:val="0"/>
              <w:jc w:val="center"/>
              <w:rPr>
                <w:rFonts w:hint="default" w:ascii="Times New Roman" w:hAnsi="Times New Roman" w:cs="Times New Roman"/>
                <w:spacing w:val="-8"/>
                <w:sz w:val="21"/>
                <w:szCs w:val="21"/>
              </w:rPr>
            </w:pPr>
            <w:r>
              <w:rPr>
                <w:rFonts w:hint="default" w:ascii="Times New Roman" w:hAnsi="Times New Roman" w:cs="Times New Roman"/>
                <w:spacing w:val="-8"/>
                <w:sz w:val="21"/>
                <w:szCs w:val="21"/>
              </w:rPr>
              <w:t>环境风险</w:t>
            </w:r>
          </w:p>
          <w:p>
            <w:pPr>
              <w:adjustRightInd w:val="0"/>
              <w:snapToGrid w:val="0"/>
              <w:jc w:val="center"/>
              <w:rPr>
                <w:rFonts w:hint="default" w:ascii="Times New Roman" w:hAnsi="Times New Roman" w:cs="Times New Roman"/>
                <w:spacing w:val="-8"/>
                <w:sz w:val="21"/>
                <w:szCs w:val="21"/>
              </w:rPr>
            </w:pPr>
            <w:r>
              <w:rPr>
                <w:rFonts w:hint="default" w:ascii="Times New Roman" w:hAnsi="Times New Roman" w:cs="Times New Roman"/>
                <w:spacing w:val="-8"/>
                <w:sz w:val="21"/>
                <w:szCs w:val="21"/>
              </w:rPr>
              <w:t>防范措施</w:t>
            </w:r>
          </w:p>
        </w:tc>
        <w:tc>
          <w:tcPr>
            <w:tcW w:w="7967" w:type="dxa"/>
            <w:gridSpan w:val="5"/>
            <w:noWrap w:val="0"/>
            <w:vAlign w:val="center"/>
          </w:tcPr>
          <w:p>
            <w:pPr>
              <w:pStyle w:val="72"/>
              <w:keepNext w:val="0"/>
              <w:keepLines w:val="0"/>
              <w:pageBreakBefore w:val="0"/>
              <w:kinsoku/>
              <w:wordWrap/>
              <w:overflowPunct/>
              <w:topLinePunct w:val="0"/>
              <w:bidi w:val="0"/>
              <w:adjustRightInd/>
              <w:snapToGrid/>
              <w:spacing w:line="240" w:lineRule="auto"/>
              <w:ind w:left="0" w:leftChars="0" w:firstLine="0" w:firstLineChars="0"/>
              <w:textAlignment w:val="auto"/>
              <w:rPr>
                <w:rFonts w:hint="eastAsia"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①树脂、固化剂、三乙胺等原辅材料等入库时， 严格检验物品质量、数量、包装情况、有无泄漏，在贮存期内</w:t>
            </w:r>
            <w:r>
              <w:rPr>
                <w:rFonts w:hint="eastAsia" w:cs="Times New Roman"/>
                <w:b w:val="0"/>
                <w:bCs/>
                <w:kern w:val="2"/>
                <w:sz w:val="21"/>
                <w:szCs w:val="22"/>
                <w:lang w:val="en-US" w:eastAsia="zh-CN" w:bidi="ar-SA"/>
              </w:rPr>
              <w:t>，</w:t>
            </w:r>
            <w:r>
              <w:rPr>
                <w:rFonts w:hint="eastAsia" w:ascii="Times New Roman" w:hAnsi="Times New Roman" w:eastAsia="宋体" w:cs="Times New Roman"/>
                <w:b w:val="0"/>
                <w:bCs/>
                <w:kern w:val="2"/>
                <w:sz w:val="21"/>
                <w:szCs w:val="22"/>
                <w:lang w:val="en-US" w:eastAsia="zh-CN" w:bidi="ar-SA"/>
              </w:rPr>
              <w:t>定期检查</w:t>
            </w:r>
            <w:r>
              <w:rPr>
                <w:rFonts w:hint="eastAsia" w:cs="Times New Roman"/>
                <w:b w:val="0"/>
                <w:bCs/>
                <w:kern w:val="2"/>
                <w:sz w:val="21"/>
                <w:szCs w:val="22"/>
                <w:lang w:val="en-US" w:eastAsia="zh-CN" w:bidi="ar-SA"/>
              </w:rPr>
              <w:t>，</w:t>
            </w:r>
            <w:r>
              <w:rPr>
                <w:rFonts w:hint="eastAsia" w:ascii="Times New Roman" w:hAnsi="Times New Roman" w:eastAsia="宋体" w:cs="Times New Roman"/>
                <w:b w:val="0"/>
                <w:bCs/>
                <w:kern w:val="2"/>
                <w:sz w:val="21"/>
                <w:szCs w:val="22"/>
                <w:lang w:val="en-US" w:eastAsia="zh-CN" w:bidi="ar-SA"/>
              </w:rPr>
              <w:t>发现其品质变化</w:t>
            </w:r>
            <w:r>
              <w:rPr>
                <w:rFonts w:hint="eastAsia" w:cs="Times New Roman"/>
                <w:b w:val="0"/>
                <w:bCs/>
                <w:kern w:val="2"/>
                <w:sz w:val="21"/>
                <w:szCs w:val="22"/>
                <w:lang w:val="en-US" w:eastAsia="zh-CN" w:bidi="ar-SA"/>
              </w:rPr>
              <w:t>、</w:t>
            </w:r>
            <w:r>
              <w:rPr>
                <w:rFonts w:hint="eastAsia" w:ascii="Times New Roman" w:hAnsi="Times New Roman" w:eastAsia="宋体" w:cs="Times New Roman"/>
                <w:b w:val="0"/>
                <w:bCs/>
                <w:kern w:val="2"/>
                <w:sz w:val="21"/>
                <w:szCs w:val="22"/>
                <w:lang w:val="en-US" w:eastAsia="zh-CN" w:bidi="ar-SA"/>
              </w:rPr>
              <w:t>包装破损</w:t>
            </w:r>
            <w:r>
              <w:rPr>
                <w:rFonts w:hint="eastAsia" w:cs="Times New Roman"/>
                <w:b w:val="0"/>
                <w:bCs/>
                <w:kern w:val="2"/>
                <w:sz w:val="21"/>
                <w:szCs w:val="22"/>
                <w:lang w:val="en-US" w:eastAsia="zh-CN" w:bidi="ar-SA"/>
              </w:rPr>
              <w:t>、</w:t>
            </w:r>
            <w:r>
              <w:rPr>
                <w:rFonts w:hint="eastAsia" w:ascii="Times New Roman" w:hAnsi="Times New Roman" w:eastAsia="宋体" w:cs="Times New Roman"/>
                <w:b w:val="0"/>
                <w:bCs/>
                <w:kern w:val="2"/>
                <w:sz w:val="21"/>
                <w:szCs w:val="22"/>
                <w:lang w:val="en-US" w:eastAsia="zh-CN" w:bidi="ar-SA"/>
              </w:rPr>
              <w:t>渗漏等</w:t>
            </w:r>
            <w:r>
              <w:rPr>
                <w:rFonts w:hint="eastAsia" w:cs="Times New Roman"/>
                <w:b w:val="0"/>
                <w:bCs/>
                <w:kern w:val="2"/>
                <w:sz w:val="21"/>
                <w:szCs w:val="22"/>
                <w:lang w:val="en-US" w:eastAsia="zh-CN" w:bidi="ar-SA"/>
              </w:rPr>
              <w:t>，</w:t>
            </w:r>
            <w:r>
              <w:rPr>
                <w:rFonts w:hint="eastAsia" w:ascii="Times New Roman" w:hAnsi="Times New Roman" w:eastAsia="宋体" w:cs="Times New Roman"/>
                <w:b w:val="0"/>
                <w:bCs/>
                <w:kern w:val="2"/>
                <w:sz w:val="21"/>
                <w:szCs w:val="22"/>
                <w:lang w:val="en-US" w:eastAsia="zh-CN" w:bidi="ar-SA"/>
              </w:rPr>
              <w:t>及时处理；</w:t>
            </w:r>
          </w:p>
          <w:p>
            <w:pPr>
              <w:pStyle w:val="72"/>
              <w:keepNext w:val="0"/>
              <w:keepLines w:val="0"/>
              <w:pageBreakBefore w:val="0"/>
              <w:kinsoku/>
              <w:wordWrap/>
              <w:overflowPunct/>
              <w:topLinePunct w:val="0"/>
              <w:bidi w:val="0"/>
              <w:adjustRightInd/>
              <w:snapToGrid/>
              <w:spacing w:line="240" w:lineRule="auto"/>
              <w:ind w:left="0" w:leftChars="0" w:firstLine="0" w:firstLineChars="0"/>
              <w:textAlignment w:val="auto"/>
              <w:rPr>
                <w:rFonts w:hint="eastAsia"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②应避免阳光直射、曝晒， 远离热源、电源、火源， 库房建筑及各种设备符合《建筑设计防火规范》（GB50016-2014）的规定。</w:t>
            </w:r>
          </w:p>
          <w:p>
            <w:pPr>
              <w:pStyle w:val="72"/>
              <w:keepNext w:val="0"/>
              <w:keepLines w:val="0"/>
              <w:pageBreakBefore w:val="0"/>
              <w:kinsoku/>
              <w:wordWrap/>
              <w:overflowPunct/>
              <w:topLinePunct w:val="0"/>
              <w:bidi w:val="0"/>
              <w:adjustRightInd/>
              <w:snapToGrid/>
              <w:spacing w:line="240" w:lineRule="auto"/>
              <w:ind w:left="0" w:leftChars="0" w:firstLine="0" w:firstLineChars="0"/>
              <w:textAlignment w:val="auto"/>
              <w:rPr>
                <w:rFonts w:hint="eastAsia"/>
                <w:sz w:val="21"/>
                <w:szCs w:val="21"/>
                <w:lang w:eastAsia="zh-CN"/>
              </w:rPr>
            </w:pPr>
            <w:r>
              <w:rPr>
                <w:rFonts w:hint="eastAsia" w:ascii="Times New Roman" w:hAnsi="Times New Roman" w:eastAsia="宋体" w:cs="Times New Roman"/>
                <w:b w:val="0"/>
                <w:bCs/>
                <w:kern w:val="2"/>
                <w:sz w:val="21"/>
                <w:szCs w:val="22"/>
                <w:lang w:val="en-US" w:eastAsia="zh-CN" w:bidi="ar-SA"/>
              </w:rPr>
              <w:t>③危废库按规范要求建设， 做到防雨、防风、防晒、防渗漏； 建立危险废物台账管理制度；设置警示标志专人进行管理。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3" w:type="dxa"/>
            <w:noWrap w:val="0"/>
            <w:vAlign w:val="center"/>
          </w:tcPr>
          <w:p>
            <w:pPr>
              <w:adjustRightInd w:val="0"/>
              <w:snapToGrid w:val="0"/>
              <w:jc w:val="center"/>
              <w:rPr>
                <w:rFonts w:hint="default" w:ascii="Times New Roman" w:hAnsi="Times New Roman" w:cs="Times New Roman"/>
                <w:spacing w:val="-8"/>
                <w:sz w:val="21"/>
                <w:szCs w:val="21"/>
              </w:rPr>
            </w:pPr>
            <w:r>
              <w:rPr>
                <w:rFonts w:hint="default" w:ascii="Times New Roman" w:hAnsi="Times New Roman" w:cs="Times New Roman"/>
                <w:spacing w:val="-8"/>
                <w:sz w:val="21"/>
                <w:szCs w:val="21"/>
              </w:rPr>
              <w:t>其他环境</w:t>
            </w:r>
          </w:p>
          <w:p>
            <w:pPr>
              <w:adjustRightInd w:val="0"/>
              <w:snapToGrid w:val="0"/>
              <w:jc w:val="center"/>
              <w:rPr>
                <w:rFonts w:hint="default" w:ascii="Times New Roman" w:hAnsi="Times New Roman" w:cs="Times New Roman"/>
                <w:spacing w:val="-8"/>
                <w:sz w:val="21"/>
                <w:szCs w:val="21"/>
              </w:rPr>
            </w:pPr>
            <w:r>
              <w:rPr>
                <w:rFonts w:hint="default" w:ascii="Times New Roman" w:hAnsi="Times New Roman" w:cs="Times New Roman"/>
                <w:spacing w:val="-8"/>
                <w:sz w:val="21"/>
                <w:szCs w:val="21"/>
              </w:rPr>
              <w:t>管理要求</w:t>
            </w:r>
          </w:p>
        </w:tc>
        <w:tc>
          <w:tcPr>
            <w:tcW w:w="7967" w:type="dxa"/>
            <w:gridSpan w:val="5"/>
            <w:noWrap w:val="0"/>
            <w:vAlign w:val="center"/>
          </w:tcPr>
          <w:p>
            <w:pPr>
              <w:adjustRightInd w:val="0"/>
              <w:snapToGrid w:val="0"/>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企业应制定厂区环境管理制度，定期安排专人检查环保设施运行状况，确保环保设施正常运行，并且做好各类管理台账的记录。同时，</w:t>
            </w:r>
            <w:r>
              <w:rPr>
                <w:sz w:val="21"/>
                <w:szCs w:val="21"/>
              </w:rPr>
              <w:t>建设单位应在项目启动生产设施或发生实际排污前按要求</w:t>
            </w:r>
            <w:r>
              <w:rPr>
                <w:rFonts w:hint="eastAsia"/>
                <w:sz w:val="21"/>
                <w:szCs w:val="21"/>
                <w:lang w:eastAsia="zh-CN"/>
              </w:rPr>
              <w:t>完成排污许可申领工作。</w:t>
            </w:r>
          </w:p>
        </w:tc>
      </w:tr>
    </w:tbl>
    <w:p>
      <w:pPr>
        <w:pStyle w:val="24"/>
        <w:keepNext w:val="0"/>
        <w:keepLines w:val="0"/>
        <w:pageBreakBefore w:val="0"/>
        <w:widowControl/>
        <w:kinsoku/>
        <w:wordWrap/>
        <w:overflowPunct/>
        <w:topLinePunct w:val="0"/>
        <w:autoSpaceDE/>
        <w:autoSpaceDN/>
        <w:bidi w:val="0"/>
        <w:adjustRightInd/>
        <w:snapToGrid/>
        <w:spacing w:before="120" w:beforeAutospacing="0" w:after="160" w:afterAutospacing="0"/>
        <w:jc w:val="center"/>
        <w:textAlignment w:val="auto"/>
        <w:outlineLvl w:val="0"/>
        <w:rPr>
          <w:rStyle w:val="48"/>
        </w:rPr>
      </w:pPr>
      <w:r>
        <w:rPr>
          <w:snapToGrid w:val="0"/>
        </w:rPr>
        <w:br w:type="page"/>
      </w:r>
      <w:bookmarkStart w:id="19" w:name="_Toc24458"/>
      <w:bookmarkStart w:id="20" w:name="_Toc28882"/>
      <w:bookmarkStart w:id="21" w:name="_Toc32130"/>
      <w:r>
        <w:rPr>
          <w:rStyle w:val="48"/>
          <w:rFonts w:hint="eastAsia"/>
        </w:rPr>
        <w:t>六、结论</w:t>
      </w:r>
      <w:bookmarkEnd w:id="19"/>
      <w:bookmarkEnd w:id="20"/>
      <w:bookmarkEnd w:id="21"/>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66" w:hRule="atLeast"/>
          <w:jc w:val="center"/>
        </w:trPr>
        <w:tc>
          <w:tcPr>
            <w:tcW w:w="8865" w:type="dxa"/>
            <w:noWrap w:val="0"/>
            <w:vAlign w:val="top"/>
          </w:tcPr>
          <w:p>
            <w:pPr>
              <w:pStyle w:val="72"/>
              <w:keepNext w:val="0"/>
              <w:keepLines w:val="0"/>
              <w:pageBreakBefore w:val="0"/>
              <w:kinsoku/>
              <w:wordWrap/>
              <w:overflowPunct/>
              <w:topLinePunct w:val="0"/>
              <w:autoSpaceDE/>
              <w:autoSpaceDN/>
              <w:bidi w:val="0"/>
              <w:adjustRightInd/>
              <w:snapToGrid/>
              <w:spacing w:before="157" w:beforeLines="50"/>
              <w:jc w:val="both"/>
              <w:textAlignment w:val="auto"/>
              <w:rPr>
                <w:color w:val="auto"/>
              </w:rPr>
            </w:pPr>
            <w:r>
              <w:rPr>
                <w:color w:val="auto"/>
              </w:rPr>
              <w:t>综上所述，</w:t>
            </w:r>
            <w:r>
              <w:rPr>
                <w:rFonts w:hint="eastAsia"/>
                <w:color w:val="auto"/>
                <w:lang w:eastAsia="zh-CN"/>
              </w:rPr>
              <w:t>六安市盈瑞机械有限公司“电机、汽车配件生产项目”</w:t>
            </w:r>
            <w:r>
              <w:rPr>
                <w:rFonts w:hint="eastAsia"/>
                <w:color w:val="auto"/>
                <w:lang w:val="en-US" w:eastAsia="zh-CN"/>
              </w:rPr>
              <w:t>需按照环评提出整改措施进行整改，</w:t>
            </w:r>
            <w:r>
              <w:rPr>
                <w:color w:val="auto"/>
              </w:rPr>
              <w:t>保证各</w:t>
            </w:r>
            <w:r>
              <w:rPr>
                <w:rFonts w:hint="eastAsia"/>
                <w:color w:val="auto"/>
                <w:lang w:eastAsia="zh-CN"/>
              </w:rPr>
              <w:t>类</w:t>
            </w:r>
            <w:r>
              <w:rPr>
                <w:color w:val="auto"/>
              </w:rPr>
              <w:t>污染物稳定达标排放</w:t>
            </w:r>
            <w:r>
              <w:rPr>
                <w:rFonts w:hint="eastAsia"/>
                <w:color w:val="auto"/>
                <w:lang w:eastAsia="zh-CN"/>
              </w:rPr>
              <w:t>。项目</w:t>
            </w:r>
            <w:r>
              <w:rPr>
                <w:color w:val="auto"/>
              </w:rPr>
              <w:t>正常</w:t>
            </w:r>
            <w:r>
              <w:rPr>
                <w:rFonts w:hint="eastAsia"/>
                <w:color w:val="auto"/>
                <w:lang w:eastAsia="zh-CN"/>
              </w:rPr>
              <w:t>运营</w:t>
            </w:r>
            <w:r>
              <w:rPr>
                <w:color w:val="auto"/>
              </w:rPr>
              <w:t>时</w:t>
            </w:r>
            <w:r>
              <w:rPr>
                <w:rFonts w:hint="eastAsia"/>
                <w:color w:val="auto"/>
                <w:lang w:eastAsia="zh-CN"/>
              </w:rPr>
              <w:t>，</w:t>
            </w:r>
            <w:r>
              <w:rPr>
                <w:color w:val="auto"/>
              </w:rPr>
              <w:t>排放的污染物对</w:t>
            </w:r>
            <w:r>
              <w:rPr>
                <w:rFonts w:hint="eastAsia"/>
                <w:color w:val="auto"/>
                <w:lang w:eastAsia="zh-CN"/>
              </w:rPr>
              <w:t>区域</w:t>
            </w:r>
            <w:r>
              <w:rPr>
                <w:color w:val="auto"/>
              </w:rPr>
              <w:t>环境</w:t>
            </w:r>
            <w:r>
              <w:rPr>
                <w:rFonts w:hint="eastAsia"/>
                <w:color w:val="auto"/>
                <w:lang w:eastAsia="zh-CN"/>
              </w:rPr>
              <w:t>的</w:t>
            </w:r>
            <w:r>
              <w:rPr>
                <w:color w:val="auto"/>
              </w:rPr>
              <w:t>影响</w:t>
            </w:r>
            <w:r>
              <w:rPr>
                <w:rFonts w:hint="eastAsia"/>
                <w:color w:val="auto"/>
                <w:lang w:eastAsia="zh-CN"/>
              </w:rPr>
              <w:t>可以接受。本次评价</w:t>
            </w:r>
            <w:r>
              <w:rPr>
                <w:color w:val="auto"/>
              </w:rPr>
              <w:t>从环保角度论证，本项目的建设是可行的。</w:t>
            </w:r>
          </w:p>
          <w:p>
            <w:pPr>
              <w:keepNext w:val="0"/>
              <w:keepLines w:val="0"/>
              <w:pageBreakBefore w:val="0"/>
              <w:kinsoku/>
              <w:wordWrap/>
              <w:overflowPunct/>
              <w:topLinePunct w:val="0"/>
              <w:autoSpaceDE/>
              <w:autoSpaceDN/>
              <w:bidi w:val="0"/>
              <w:adjustRightInd/>
              <w:snapToGrid/>
              <w:spacing w:before="157" w:beforeLines="50" w:line="360" w:lineRule="auto"/>
              <w:jc w:val="both"/>
              <w:textAlignment w:val="auto"/>
            </w:pPr>
          </w:p>
          <w:p>
            <w:pPr>
              <w:pStyle w:val="8"/>
            </w:pPr>
          </w:p>
        </w:tc>
      </w:tr>
    </w:tbl>
    <w:p>
      <w:pPr>
        <w:rPr>
          <w:rFonts w:ascii="宋体"/>
        </w:rPr>
        <w:sectPr>
          <w:pgSz w:w="11906" w:h="16838"/>
          <w:pgMar w:top="1501" w:right="1531" w:bottom="1701" w:left="1531" w:header="851" w:footer="1020" w:gutter="0"/>
          <w:pgBorders>
            <w:top w:val="none" w:sz="0" w:space="0"/>
            <w:left w:val="none" w:sz="0" w:space="0"/>
            <w:bottom w:val="none" w:sz="0" w:space="0"/>
            <w:right w:val="none" w:sz="0" w:space="0"/>
          </w:pgBorders>
          <w:pgNumType w:fmt="numberInDash"/>
          <w:cols w:space="720" w:num="1"/>
          <w:docGrid w:linePitch="312" w:charSpace="0"/>
        </w:sectPr>
      </w:pP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ascii="黑体" w:hAnsi="黑体" w:eastAsia="黑体"/>
          <w:b/>
          <w:bCs/>
          <w:snapToGrid w:val="0"/>
          <w:sz w:val="32"/>
          <w:szCs w:val="32"/>
        </w:rPr>
      </w:pPr>
      <w:bookmarkStart w:id="22" w:name="_Toc12445"/>
      <w:bookmarkStart w:id="23" w:name="_Toc29978"/>
      <w:bookmarkStart w:id="24" w:name="_Toc27890"/>
      <w:r>
        <w:rPr>
          <w:rFonts w:hint="eastAsia" w:ascii="黑体" w:hAnsi="黑体" w:eastAsia="黑体"/>
          <w:b/>
          <w:bCs/>
          <w:snapToGrid w:val="0"/>
          <w:sz w:val="32"/>
          <w:szCs w:val="32"/>
        </w:rPr>
        <w:t>附表</w:t>
      </w:r>
      <w:bookmarkEnd w:id="22"/>
      <w:bookmarkEnd w:id="23"/>
      <w:bookmarkEnd w:id="24"/>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snapToGrid w:val="0"/>
          <w:color w:val="auto"/>
          <w:sz w:val="38"/>
          <w:szCs w:val="38"/>
        </w:rPr>
      </w:pPr>
      <w:bookmarkStart w:id="25" w:name="_Toc17606"/>
      <w:bookmarkStart w:id="26" w:name="_Toc5849"/>
      <w:bookmarkStart w:id="27" w:name="_Toc13388"/>
      <w:r>
        <w:rPr>
          <w:rFonts w:hint="eastAsia" w:ascii="方正小标宋_GBK" w:hAnsi="黑体" w:eastAsia="方正小标宋_GBK"/>
          <w:snapToGrid w:val="0"/>
          <w:color w:val="auto"/>
          <w:sz w:val="38"/>
          <w:szCs w:val="38"/>
        </w:rPr>
        <w:t>建设项目污染物排放量汇总表</w:t>
      </w:r>
      <w:bookmarkEnd w:id="25"/>
      <w:bookmarkEnd w:id="26"/>
      <w:bookmarkEnd w:id="27"/>
    </w:p>
    <w:tbl>
      <w:tblPr>
        <w:tblStyle w:val="2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2495"/>
        <w:gridCol w:w="1297"/>
        <w:gridCol w:w="1754"/>
        <w:gridCol w:w="1786"/>
        <w:gridCol w:w="1796"/>
        <w:gridCol w:w="1623"/>
        <w:gridCol w:w="1907"/>
        <w:gridCol w:w="1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0" w:type="dxa"/>
            <w:tcBorders>
              <w:tl2br w:val="single" w:color="auto" w:sz="4" w:space="0"/>
            </w:tcBorders>
            <w:noWrap w:val="0"/>
            <w:tcMar>
              <w:left w:w="28" w:type="dxa"/>
              <w:right w:w="28" w:type="dxa"/>
            </w:tcMar>
            <w:vAlign w:val="center"/>
          </w:tcPr>
          <w:p>
            <w:pPr>
              <w:pStyle w:val="61"/>
              <w:spacing w:beforeLines="0" w:afterLines="0" w:line="240" w:lineRule="auto"/>
              <w:jc w:val="right"/>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项目</w:t>
            </w:r>
          </w:p>
          <w:p>
            <w:pPr>
              <w:pStyle w:val="61"/>
              <w:spacing w:beforeLines="0" w:afterLines="0" w:line="240" w:lineRule="auto"/>
              <w:jc w:val="both"/>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分类</w:t>
            </w:r>
          </w:p>
        </w:tc>
        <w:tc>
          <w:tcPr>
            <w:tcW w:w="2495" w:type="dxa"/>
            <w:noWrap w:val="0"/>
            <w:tcMar>
              <w:left w:w="28" w:type="dxa"/>
              <w:right w:w="28" w:type="dxa"/>
            </w:tcMar>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污染物名称</w:t>
            </w:r>
          </w:p>
        </w:tc>
        <w:tc>
          <w:tcPr>
            <w:tcW w:w="1297" w:type="dxa"/>
            <w:noWrap w:val="0"/>
            <w:tcMar>
              <w:left w:w="28" w:type="dxa"/>
              <w:right w:w="28" w:type="dxa"/>
            </w:tcMar>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现有工程</w:t>
            </w:r>
          </w:p>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1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①</w:t>
            </w:r>
            <w:r>
              <w:rPr>
                <w:rFonts w:hint="default" w:ascii="Times New Roman" w:hAnsi="Times New Roman" w:eastAsia="黑体" w:cs="Times New Roman"/>
                <w:snapToGrid w:val="0"/>
                <w:color w:val="auto"/>
                <w:spacing w:val="-6"/>
                <w:kern w:val="21"/>
                <w:sz w:val="24"/>
                <w:szCs w:val="24"/>
              </w:rPr>
              <w:fldChar w:fldCharType="end"/>
            </w:r>
          </w:p>
        </w:tc>
        <w:tc>
          <w:tcPr>
            <w:tcW w:w="1754" w:type="dxa"/>
            <w:noWrap w:val="0"/>
            <w:tcMar>
              <w:left w:w="28" w:type="dxa"/>
              <w:right w:w="28" w:type="dxa"/>
            </w:tcMar>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现有工程</w:t>
            </w:r>
          </w:p>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许可排放量</w:t>
            </w:r>
          </w:p>
          <w:p>
            <w:pPr>
              <w:pStyle w:val="61"/>
              <w:spacing w:beforeLines="0" w:afterLines="0"/>
              <w:jc w:val="center"/>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2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snapToGrid w:val="0"/>
                <w:color w:val="auto"/>
                <w:spacing w:val="-6"/>
                <w:kern w:val="21"/>
                <w:sz w:val="24"/>
                <w:szCs w:val="24"/>
              </w:rPr>
              <w:t>②</w:t>
            </w:r>
            <w:r>
              <w:rPr>
                <w:rFonts w:hint="default" w:ascii="Times New Roman" w:hAnsi="Times New Roman" w:eastAsia="黑体" w:cs="Times New Roman"/>
                <w:snapToGrid w:val="0"/>
                <w:color w:val="auto"/>
                <w:spacing w:val="-6"/>
                <w:kern w:val="21"/>
                <w:sz w:val="24"/>
                <w:szCs w:val="24"/>
              </w:rPr>
              <w:fldChar w:fldCharType="end"/>
            </w:r>
          </w:p>
        </w:tc>
        <w:tc>
          <w:tcPr>
            <w:tcW w:w="1786" w:type="dxa"/>
            <w:noWrap w:val="0"/>
            <w:tcMar>
              <w:left w:w="28" w:type="dxa"/>
              <w:right w:w="28" w:type="dxa"/>
            </w:tcMar>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在建工程</w:t>
            </w:r>
          </w:p>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3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③</w:t>
            </w:r>
            <w:r>
              <w:rPr>
                <w:rFonts w:hint="default" w:ascii="Times New Roman" w:hAnsi="Times New Roman" w:eastAsia="黑体" w:cs="Times New Roman"/>
                <w:snapToGrid w:val="0"/>
                <w:color w:val="auto"/>
                <w:spacing w:val="-6"/>
                <w:kern w:val="21"/>
                <w:sz w:val="24"/>
                <w:szCs w:val="24"/>
              </w:rPr>
              <w:fldChar w:fldCharType="end"/>
            </w:r>
          </w:p>
        </w:tc>
        <w:tc>
          <w:tcPr>
            <w:tcW w:w="1796" w:type="dxa"/>
            <w:noWrap w:val="0"/>
            <w:tcMar>
              <w:left w:w="28" w:type="dxa"/>
              <w:right w:w="28" w:type="dxa"/>
            </w:tcMar>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本项目</w:t>
            </w:r>
          </w:p>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4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④</w:t>
            </w:r>
            <w:r>
              <w:rPr>
                <w:rFonts w:hint="default" w:ascii="Times New Roman" w:hAnsi="Times New Roman" w:eastAsia="黑体" w:cs="Times New Roman"/>
                <w:snapToGrid w:val="0"/>
                <w:color w:val="auto"/>
                <w:spacing w:val="-6"/>
                <w:kern w:val="21"/>
                <w:sz w:val="24"/>
                <w:szCs w:val="24"/>
              </w:rPr>
              <w:fldChar w:fldCharType="end"/>
            </w:r>
          </w:p>
        </w:tc>
        <w:tc>
          <w:tcPr>
            <w:tcW w:w="1623" w:type="dxa"/>
            <w:noWrap w:val="0"/>
            <w:tcMar>
              <w:left w:w="28" w:type="dxa"/>
              <w:right w:w="28" w:type="dxa"/>
            </w:tcMar>
            <w:vAlign w:val="center"/>
          </w:tcPr>
          <w:p>
            <w:pPr>
              <w:pStyle w:val="61"/>
              <w:spacing w:beforeLines="0" w:afterLines="0" w:line="240" w:lineRule="auto"/>
              <w:jc w:val="center"/>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以新带老削减量（新建项目不填）</w:t>
            </w:r>
            <w:r>
              <w:rPr>
                <w:rFonts w:hint="default" w:ascii="Times New Roman" w:hAnsi="Times New Roman" w:eastAsia="黑体" w:cs="Times New Roman"/>
                <w:snapToGrid w:val="0"/>
                <w:color w:val="auto"/>
                <w:spacing w:val="-16"/>
                <w:kern w:val="21"/>
                <w:sz w:val="24"/>
                <w:szCs w:val="24"/>
              </w:rPr>
              <w:fldChar w:fldCharType="begin"/>
            </w:r>
            <w:r>
              <w:rPr>
                <w:rFonts w:hint="default" w:ascii="Times New Roman" w:hAnsi="Times New Roman" w:eastAsia="黑体" w:cs="Times New Roman"/>
                <w:snapToGrid w:val="0"/>
                <w:color w:val="auto"/>
                <w:spacing w:val="-16"/>
                <w:kern w:val="21"/>
                <w:sz w:val="24"/>
                <w:szCs w:val="24"/>
              </w:rPr>
              <w:instrText xml:space="preserve"> = 5 \* GB3 \* MERGEFORMAT </w:instrText>
            </w:r>
            <w:r>
              <w:rPr>
                <w:rFonts w:hint="default" w:ascii="Times New Roman" w:hAnsi="Times New Roman" w:eastAsia="黑体" w:cs="Times New Roman"/>
                <w:snapToGrid w:val="0"/>
                <w:color w:val="auto"/>
                <w:spacing w:val="-16"/>
                <w:kern w:val="21"/>
                <w:sz w:val="24"/>
                <w:szCs w:val="24"/>
              </w:rPr>
              <w:fldChar w:fldCharType="separate"/>
            </w:r>
            <w:r>
              <w:rPr>
                <w:rFonts w:hint="default" w:ascii="Times New Roman" w:hAnsi="Times New Roman" w:eastAsia="黑体" w:cs="Times New Roman"/>
                <w:color w:val="auto"/>
                <w:kern w:val="2"/>
                <w:sz w:val="24"/>
                <w:szCs w:val="24"/>
              </w:rPr>
              <w:t>⑤</w:t>
            </w:r>
            <w:r>
              <w:rPr>
                <w:rFonts w:hint="default" w:ascii="Times New Roman" w:hAnsi="Times New Roman" w:eastAsia="黑体" w:cs="Times New Roman"/>
                <w:snapToGrid w:val="0"/>
                <w:color w:val="auto"/>
                <w:spacing w:val="-16"/>
                <w:kern w:val="21"/>
                <w:sz w:val="24"/>
                <w:szCs w:val="24"/>
              </w:rPr>
              <w:fldChar w:fldCharType="end"/>
            </w:r>
          </w:p>
        </w:tc>
        <w:tc>
          <w:tcPr>
            <w:tcW w:w="1907" w:type="dxa"/>
            <w:noWrap w:val="0"/>
            <w:tcMar>
              <w:left w:w="28" w:type="dxa"/>
              <w:right w:w="28" w:type="dxa"/>
            </w:tcMar>
            <w:vAlign w:val="center"/>
          </w:tcPr>
          <w:p>
            <w:pPr>
              <w:pStyle w:val="61"/>
              <w:spacing w:beforeLines="0" w:afterLines="0" w:line="240" w:lineRule="auto"/>
              <w:jc w:val="center"/>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本项目建成后</w:t>
            </w:r>
          </w:p>
          <w:p>
            <w:pPr>
              <w:pStyle w:val="61"/>
              <w:spacing w:beforeLines="0" w:afterLines="0" w:line="240" w:lineRule="auto"/>
              <w:jc w:val="center"/>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全厂排放量（固体废物产生量）</w:t>
            </w:r>
            <w:r>
              <w:rPr>
                <w:rFonts w:hint="default" w:ascii="Times New Roman" w:hAnsi="Times New Roman" w:eastAsia="黑体" w:cs="Times New Roman"/>
                <w:snapToGrid w:val="0"/>
                <w:color w:val="auto"/>
                <w:spacing w:val="-16"/>
                <w:kern w:val="21"/>
                <w:sz w:val="24"/>
                <w:szCs w:val="24"/>
              </w:rPr>
              <w:fldChar w:fldCharType="begin"/>
            </w:r>
            <w:r>
              <w:rPr>
                <w:rFonts w:hint="default" w:ascii="Times New Roman" w:hAnsi="Times New Roman" w:eastAsia="黑体" w:cs="Times New Roman"/>
                <w:snapToGrid w:val="0"/>
                <w:color w:val="auto"/>
                <w:spacing w:val="-16"/>
                <w:kern w:val="21"/>
                <w:sz w:val="24"/>
                <w:szCs w:val="24"/>
              </w:rPr>
              <w:instrText xml:space="preserve"> = 6 \* GB3 \* MERGEFORMAT </w:instrText>
            </w:r>
            <w:r>
              <w:rPr>
                <w:rFonts w:hint="default" w:ascii="Times New Roman" w:hAnsi="Times New Roman" w:eastAsia="黑体" w:cs="Times New Roman"/>
                <w:snapToGrid w:val="0"/>
                <w:color w:val="auto"/>
                <w:spacing w:val="-16"/>
                <w:kern w:val="21"/>
                <w:sz w:val="24"/>
                <w:szCs w:val="24"/>
              </w:rPr>
              <w:fldChar w:fldCharType="separate"/>
            </w:r>
            <w:r>
              <w:rPr>
                <w:rFonts w:hint="default" w:ascii="Times New Roman" w:hAnsi="Times New Roman" w:eastAsia="黑体" w:cs="Times New Roman"/>
                <w:color w:val="auto"/>
                <w:kern w:val="2"/>
                <w:sz w:val="24"/>
                <w:szCs w:val="24"/>
              </w:rPr>
              <w:t>⑥</w:t>
            </w:r>
            <w:r>
              <w:rPr>
                <w:rFonts w:hint="default" w:ascii="Times New Roman" w:hAnsi="Times New Roman" w:eastAsia="黑体" w:cs="Times New Roman"/>
                <w:snapToGrid w:val="0"/>
                <w:color w:val="auto"/>
                <w:spacing w:val="-16"/>
                <w:kern w:val="21"/>
                <w:sz w:val="24"/>
                <w:szCs w:val="24"/>
              </w:rPr>
              <w:fldChar w:fldCharType="end"/>
            </w:r>
          </w:p>
        </w:tc>
        <w:tc>
          <w:tcPr>
            <w:tcW w:w="1246" w:type="dxa"/>
            <w:noWrap w:val="0"/>
            <w:tcMar>
              <w:left w:w="28" w:type="dxa"/>
              <w:right w:w="28" w:type="dxa"/>
            </w:tcMar>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变化量</w:t>
            </w:r>
          </w:p>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7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⑦</w:t>
            </w:r>
            <w:r>
              <w:rPr>
                <w:rFonts w:hint="default" w:ascii="Times New Roman" w:hAnsi="Times New Roman" w:eastAsia="黑体" w:cs="Times New Roman"/>
                <w:snapToGrid w:val="0"/>
                <w:color w:val="auto"/>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0" w:type="dxa"/>
            <w:vMerge w:val="restart"/>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废气</w:t>
            </w:r>
          </w:p>
        </w:tc>
        <w:tc>
          <w:tcPr>
            <w:tcW w:w="2495"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颗粒物</w:t>
            </w:r>
          </w:p>
        </w:tc>
        <w:tc>
          <w:tcPr>
            <w:tcW w:w="129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54"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8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9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eastAsia" w:ascii="Times New Roman" w:hAnsi="Times New Roman" w:eastAsia="黑体" w:cs="Times New Roman"/>
                <w:snapToGrid w:val="0"/>
                <w:color w:val="auto"/>
                <w:spacing w:val="-6"/>
                <w:kern w:val="21"/>
                <w:sz w:val="24"/>
                <w:szCs w:val="24"/>
                <w:lang w:val="en-US" w:eastAsia="zh-CN"/>
              </w:rPr>
              <w:t>0.7386</w:t>
            </w:r>
          </w:p>
        </w:tc>
        <w:tc>
          <w:tcPr>
            <w:tcW w:w="1623"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90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eastAsia" w:ascii="Times New Roman" w:hAnsi="Times New Roman" w:eastAsia="黑体" w:cs="Times New Roman"/>
                <w:snapToGrid w:val="0"/>
                <w:color w:val="auto"/>
                <w:spacing w:val="-6"/>
                <w:kern w:val="21"/>
                <w:sz w:val="24"/>
                <w:szCs w:val="24"/>
                <w:lang w:val="en-US" w:eastAsia="zh-CN"/>
              </w:rPr>
              <w:t>0.7386</w:t>
            </w:r>
          </w:p>
        </w:tc>
        <w:tc>
          <w:tcPr>
            <w:tcW w:w="124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w:t>
            </w:r>
            <w:r>
              <w:rPr>
                <w:rFonts w:hint="eastAsia" w:ascii="Times New Roman" w:hAnsi="Times New Roman" w:eastAsia="黑体" w:cs="Times New Roman"/>
                <w:snapToGrid w:val="0"/>
                <w:color w:val="auto"/>
                <w:spacing w:val="-6"/>
                <w:kern w:val="21"/>
                <w:sz w:val="24"/>
                <w:szCs w:val="24"/>
                <w:lang w:val="en-US" w:eastAsia="zh-CN"/>
              </w:rPr>
              <w:t>0.7386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0" w:type="dxa"/>
            <w:vMerge w:val="continue"/>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p>
        </w:tc>
        <w:tc>
          <w:tcPr>
            <w:tcW w:w="2495"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三乙胺</w:t>
            </w:r>
          </w:p>
        </w:tc>
        <w:tc>
          <w:tcPr>
            <w:tcW w:w="129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54"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8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9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0.228</w:t>
            </w:r>
          </w:p>
        </w:tc>
        <w:tc>
          <w:tcPr>
            <w:tcW w:w="1623"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90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0.228</w:t>
            </w:r>
          </w:p>
        </w:tc>
        <w:tc>
          <w:tcPr>
            <w:tcW w:w="124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+0.228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0" w:type="dxa"/>
            <w:vMerge w:val="restart"/>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eastAsia="zh-CN"/>
              </w:rPr>
            </w:pPr>
            <w:r>
              <w:rPr>
                <w:rFonts w:hint="default" w:ascii="Times New Roman" w:hAnsi="Times New Roman" w:eastAsia="黑体" w:cs="Times New Roman"/>
                <w:snapToGrid w:val="0"/>
                <w:color w:val="auto"/>
                <w:spacing w:val="-6"/>
                <w:kern w:val="21"/>
                <w:sz w:val="24"/>
                <w:szCs w:val="24"/>
              </w:rPr>
              <w:t>废水</w:t>
            </w:r>
          </w:p>
        </w:tc>
        <w:tc>
          <w:tcPr>
            <w:tcW w:w="2495"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COD</w:t>
            </w:r>
          </w:p>
        </w:tc>
        <w:tc>
          <w:tcPr>
            <w:tcW w:w="129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54"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8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9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623"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90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24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0" w:type="dxa"/>
            <w:vMerge w:val="continue"/>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p>
        </w:tc>
        <w:tc>
          <w:tcPr>
            <w:tcW w:w="2495"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eastAsia="zh-CN"/>
              </w:rPr>
            </w:pPr>
            <w:r>
              <w:rPr>
                <w:rFonts w:hint="default" w:ascii="Times New Roman" w:hAnsi="Times New Roman" w:eastAsia="黑体" w:cs="Times New Roman"/>
                <w:snapToGrid w:val="0"/>
                <w:color w:val="auto"/>
                <w:spacing w:val="-6"/>
                <w:kern w:val="21"/>
                <w:sz w:val="24"/>
                <w:szCs w:val="24"/>
                <w:lang w:eastAsia="zh-CN"/>
              </w:rPr>
              <w:t>氨氮</w:t>
            </w:r>
          </w:p>
        </w:tc>
        <w:tc>
          <w:tcPr>
            <w:tcW w:w="129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54"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8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9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623"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90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24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0" w:type="dxa"/>
            <w:vMerge w:val="restart"/>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一般固体废物</w:t>
            </w:r>
          </w:p>
        </w:tc>
        <w:tc>
          <w:tcPr>
            <w:tcW w:w="2495"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rPr>
              <w:t>废砂</w:t>
            </w:r>
          </w:p>
        </w:tc>
        <w:tc>
          <w:tcPr>
            <w:tcW w:w="129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54"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8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9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200</w:t>
            </w:r>
          </w:p>
        </w:tc>
        <w:tc>
          <w:tcPr>
            <w:tcW w:w="1623"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90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200</w:t>
            </w:r>
          </w:p>
        </w:tc>
        <w:tc>
          <w:tcPr>
            <w:tcW w:w="124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0" w:type="dxa"/>
            <w:vMerge w:val="continue"/>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p>
        </w:tc>
        <w:tc>
          <w:tcPr>
            <w:tcW w:w="2495"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eastAsia="zh-CN"/>
              </w:rPr>
              <w:t>废钢丸</w:t>
            </w:r>
            <w:r>
              <w:rPr>
                <w:rFonts w:hint="default" w:ascii="Times New Roman" w:hAnsi="Times New Roman" w:eastAsia="黑体" w:cs="Times New Roman"/>
                <w:snapToGrid w:val="0"/>
                <w:color w:val="auto"/>
                <w:spacing w:val="-6"/>
                <w:kern w:val="21"/>
                <w:sz w:val="24"/>
                <w:szCs w:val="24"/>
                <w:lang w:val="en-US" w:eastAsia="zh-CN"/>
              </w:rPr>
              <w:t>及抛丸清理渣</w:t>
            </w:r>
          </w:p>
        </w:tc>
        <w:tc>
          <w:tcPr>
            <w:tcW w:w="129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54"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8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9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4.75</w:t>
            </w:r>
          </w:p>
        </w:tc>
        <w:tc>
          <w:tcPr>
            <w:tcW w:w="1623"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90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4.75</w:t>
            </w:r>
          </w:p>
        </w:tc>
        <w:tc>
          <w:tcPr>
            <w:tcW w:w="124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+4.75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0" w:type="dxa"/>
            <w:vMerge w:val="continue"/>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p>
        </w:tc>
        <w:tc>
          <w:tcPr>
            <w:tcW w:w="2495"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炉渣</w:t>
            </w:r>
          </w:p>
        </w:tc>
        <w:tc>
          <w:tcPr>
            <w:tcW w:w="129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54"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8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9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95</w:t>
            </w:r>
          </w:p>
        </w:tc>
        <w:tc>
          <w:tcPr>
            <w:tcW w:w="1623"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90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95</w:t>
            </w:r>
          </w:p>
        </w:tc>
        <w:tc>
          <w:tcPr>
            <w:tcW w:w="124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0" w:type="dxa"/>
            <w:vMerge w:val="continue"/>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p>
        </w:tc>
        <w:tc>
          <w:tcPr>
            <w:tcW w:w="2495"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eastAsia="zh-CN"/>
              </w:rPr>
              <w:t>废包装材料</w:t>
            </w:r>
          </w:p>
        </w:tc>
        <w:tc>
          <w:tcPr>
            <w:tcW w:w="129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54"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8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9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1</w:t>
            </w:r>
          </w:p>
        </w:tc>
        <w:tc>
          <w:tcPr>
            <w:tcW w:w="1623"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90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1</w:t>
            </w:r>
          </w:p>
        </w:tc>
        <w:tc>
          <w:tcPr>
            <w:tcW w:w="124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0" w:type="dxa"/>
            <w:vMerge w:val="continue"/>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p>
        </w:tc>
        <w:tc>
          <w:tcPr>
            <w:tcW w:w="2495"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除尘器集尘</w:t>
            </w:r>
          </w:p>
        </w:tc>
        <w:tc>
          <w:tcPr>
            <w:tcW w:w="129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54"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8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9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36.12</w:t>
            </w:r>
          </w:p>
        </w:tc>
        <w:tc>
          <w:tcPr>
            <w:tcW w:w="1623"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90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36.12</w:t>
            </w:r>
          </w:p>
        </w:tc>
        <w:tc>
          <w:tcPr>
            <w:tcW w:w="124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+36.12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0"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危险废物</w:t>
            </w:r>
          </w:p>
        </w:tc>
        <w:tc>
          <w:tcPr>
            <w:tcW w:w="2495"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三乙胺净化废水</w:t>
            </w:r>
          </w:p>
        </w:tc>
        <w:tc>
          <w:tcPr>
            <w:tcW w:w="129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54"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8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79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12</w:t>
            </w:r>
          </w:p>
        </w:tc>
        <w:tc>
          <w:tcPr>
            <w:tcW w:w="1623"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0</w:t>
            </w:r>
          </w:p>
        </w:tc>
        <w:tc>
          <w:tcPr>
            <w:tcW w:w="1907"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12</w:t>
            </w:r>
          </w:p>
        </w:tc>
        <w:tc>
          <w:tcPr>
            <w:tcW w:w="1246" w:type="dxa"/>
            <w:noWrap w:val="0"/>
            <w:vAlign w:val="center"/>
          </w:tcPr>
          <w:p>
            <w:pPr>
              <w:pStyle w:val="61"/>
              <w:spacing w:beforeLines="0" w:afterLines="0" w:line="240" w:lineRule="auto"/>
              <w:jc w:val="center"/>
              <w:rPr>
                <w:rFonts w:hint="default" w:ascii="Times New Roman" w:hAnsi="Times New Roman" w:eastAsia="黑体" w:cs="Times New Roman"/>
                <w:snapToGrid w:val="0"/>
                <w:color w:val="auto"/>
                <w:spacing w:val="-6"/>
                <w:kern w:val="21"/>
                <w:sz w:val="24"/>
                <w:szCs w:val="24"/>
                <w:lang w:val="en-US" w:eastAsia="zh-CN"/>
              </w:rPr>
            </w:pPr>
            <w:r>
              <w:rPr>
                <w:rFonts w:hint="default" w:ascii="Times New Roman" w:hAnsi="Times New Roman" w:eastAsia="黑体" w:cs="Times New Roman"/>
                <w:snapToGrid w:val="0"/>
                <w:color w:val="auto"/>
                <w:spacing w:val="-6"/>
                <w:kern w:val="21"/>
                <w:sz w:val="24"/>
                <w:szCs w:val="24"/>
                <w:lang w:val="en-US" w:eastAsia="zh-CN"/>
              </w:rPr>
              <w:t>+12</w:t>
            </w:r>
          </w:p>
        </w:tc>
      </w:tr>
    </w:tbl>
    <w:p>
      <w:pPr>
        <w:pStyle w:val="61"/>
        <w:keepNext w:val="0"/>
        <w:keepLines w:val="0"/>
        <w:pageBreakBefore w:val="0"/>
        <w:widowControl/>
        <w:kinsoku/>
        <w:wordWrap/>
        <w:overflowPunct/>
        <w:topLinePunct w:val="0"/>
        <w:autoSpaceDE w:val="0"/>
        <w:autoSpaceDN w:val="0"/>
        <w:bidi w:val="0"/>
        <w:adjustRightInd w:val="0"/>
        <w:snapToGrid w:val="0"/>
        <w:spacing w:before="95" w:beforeLines="30" w:after="24" w:line="240" w:lineRule="auto"/>
        <w:jc w:val="left"/>
        <w:textAlignment w:val="auto"/>
        <w:rPr>
          <w:rFonts w:hint="eastAsia"/>
          <w:lang w:val="en-US" w:eastAsia="zh-CN"/>
        </w:rPr>
      </w:pPr>
      <w:r>
        <w:rPr>
          <w:rFonts w:hAnsi="宋体"/>
          <w:snapToGrid w:val="0"/>
          <w:color w:val="000000"/>
          <w:kern w:val="21"/>
          <w:sz w:val="24"/>
          <w:szCs w:val="24"/>
        </w:rPr>
        <w:t>注：</w:t>
      </w:r>
      <w:r>
        <w:rPr>
          <w:rFonts w:hAnsi="宋体"/>
          <w:snapToGrid w:val="0"/>
          <w:color w:val="000000"/>
          <w:spacing w:val="-16"/>
          <w:kern w:val="21"/>
          <w:sz w:val="24"/>
          <w:szCs w:val="24"/>
        </w:rPr>
        <w:fldChar w:fldCharType="begin"/>
      </w:r>
      <w:r>
        <w:rPr>
          <w:rFonts w:hAnsi="宋体"/>
          <w:snapToGrid w:val="0"/>
          <w:color w:val="000000"/>
          <w:spacing w:val="-16"/>
          <w:kern w:val="21"/>
          <w:sz w:val="24"/>
          <w:szCs w:val="24"/>
        </w:rPr>
        <w:instrText xml:space="preserve"> = 6 \* GB3 \* MERGEFORMAT </w:instrText>
      </w:r>
      <w:r>
        <w:rPr>
          <w:rFonts w:hAnsi="宋体"/>
          <w:snapToGrid w:val="0"/>
          <w:color w:val="000000"/>
          <w:spacing w:val="-16"/>
          <w:kern w:val="21"/>
          <w:sz w:val="24"/>
          <w:szCs w:val="24"/>
        </w:rPr>
        <w:fldChar w:fldCharType="separate"/>
      </w:r>
      <w:r>
        <w:rPr>
          <w:rFonts w:hint="eastAsia" w:hAnsi="宋体"/>
          <w:sz w:val="24"/>
          <w:szCs w:val="24"/>
        </w:rPr>
        <w:t>⑥</w:t>
      </w:r>
      <w:r>
        <w:rPr>
          <w:rFonts w:hAnsi="宋体"/>
          <w:snapToGrid w:val="0"/>
          <w:color w:val="000000"/>
          <w:spacing w:val="-16"/>
          <w:kern w:val="21"/>
          <w:sz w:val="24"/>
          <w:szCs w:val="24"/>
        </w:rPr>
        <w:fldChar w:fldCharType="end"/>
      </w:r>
      <w:r>
        <w:rPr>
          <w:rFonts w:hAnsi="宋体"/>
          <w:snapToGrid w:val="0"/>
          <w:color w:val="000000"/>
          <w:spacing w:val="-16"/>
          <w:kern w:val="21"/>
          <w:sz w:val="24"/>
          <w:szCs w:val="24"/>
        </w:rPr>
        <w:t>=</w:t>
      </w:r>
      <w:r>
        <w:rPr>
          <w:rFonts w:hAnsi="宋体"/>
          <w:snapToGrid w:val="0"/>
          <w:color w:val="000000"/>
          <w:spacing w:val="-6"/>
          <w:kern w:val="21"/>
          <w:sz w:val="24"/>
          <w:szCs w:val="24"/>
        </w:rPr>
        <w:fldChar w:fldCharType="begin"/>
      </w:r>
      <w:r>
        <w:rPr>
          <w:rFonts w:hAnsi="宋体"/>
          <w:snapToGrid w:val="0"/>
          <w:color w:val="000000"/>
          <w:spacing w:val="-6"/>
          <w:kern w:val="21"/>
          <w:sz w:val="24"/>
          <w:szCs w:val="24"/>
        </w:rPr>
        <w:instrText xml:space="preserve"> = 1 \* GB3 \* MERGEFORMAT </w:instrText>
      </w:r>
      <w:r>
        <w:rPr>
          <w:rFonts w:hAnsi="宋体"/>
          <w:snapToGrid w:val="0"/>
          <w:color w:val="000000"/>
          <w:spacing w:val="-6"/>
          <w:kern w:val="21"/>
          <w:sz w:val="24"/>
          <w:szCs w:val="24"/>
        </w:rPr>
        <w:fldChar w:fldCharType="separate"/>
      </w:r>
      <w:r>
        <w:rPr>
          <w:rFonts w:hint="eastAsia" w:hAnsi="宋体"/>
          <w:sz w:val="24"/>
          <w:szCs w:val="24"/>
        </w:rPr>
        <w:t>①</w:t>
      </w:r>
      <w:r>
        <w:rPr>
          <w:rFonts w:hAnsi="宋体"/>
          <w:snapToGrid w:val="0"/>
          <w:color w:val="000000"/>
          <w:spacing w:val="-6"/>
          <w:kern w:val="21"/>
          <w:sz w:val="24"/>
          <w:szCs w:val="24"/>
        </w:rPr>
        <w:fldChar w:fldCharType="end"/>
      </w:r>
      <w:r>
        <w:rPr>
          <w:rFonts w:hAnsi="宋体"/>
          <w:snapToGrid w:val="0"/>
          <w:color w:val="000000"/>
          <w:spacing w:val="-6"/>
          <w:kern w:val="21"/>
          <w:sz w:val="24"/>
          <w:szCs w:val="24"/>
        </w:rPr>
        <w:t>+</w:t>
      </w:r>
      <w:r>
        <w:rPr>
          <w:rFonts w:hAnsi="宋体"/>
          <w:snapToGrid w:val="0"/>
          <w:color w:val="000000"/>
          <w:spacing w:val="-6"/>
          <w:kern w:val="21"/>
          <w:sz w:val="24"/>
          <w:szCs w:val="24"/>
        </w:rPr>
        <w:fldChar w:fldCharType="begin"/>
      </w:r>
      <w:r>
        <w:rPr>
          <w:rFonts w:hAnsi="宋体"/>
          <w:snapToGrid w:val="0"/>
          <w:color w:val="000000"/>
          <w:spacing w:val="-6"/>
          <w:kern w:val="21"/>
          <w:sz w:val="24"/>
          <w:szCs w:val="24"/>
        </w:rPr>
        <w:instrText xml:space="preserve"> = 3 \* GB3 \* MERGEFORMAT </w:instrText>
      </w:r>
      <w:r>
        <w:rPr>
          <w:rFonts w:hAnsi="宋体"/>
          <w:snapToGrid w:val="0"/>
          <w:color w:val="000000"/>
          <w:spacing w:val="-6"/>
          <w:kern w:val="21"/>
          <w:sz w:val="24"/>
          <w:szCs w:val="24"/>
        </w:rPr>
        <w:fldChar w:fldCharType="separate"/>
      </w:r>
      <w:r>
        <w:rPr>
          <w:rFonts w:hint="eastAsia" w:hAnsi="宋体"/>
          <w:sz w:val="24"/>
          <w:szCs w:val="24"/>
        </w:rPr>
        <w:t>③</w:t>
      </w:r>
      <w:r>
        <w:rPr>
          <w:rFonts w:hAnsi="宋体"/>
          <w:snapToGrid w:val="0"/>
          <w:color w:val="000000"/>
          <w:spacing w:val="-6"/>
          <w:kern w:val="21"/>
          <w:sz w:val="24"/>
          <w:szCs w:val="24"/>
        </w:rPr>
        <w:fldChar w:fldCharType="end"/>
      </w:r>
      <w:r>
        <w:rPr>
          <w:rFonts w:hAnsi="宋体"/>
          <w:snapToGrid w:val="0"/>
          <w:color w:val="000000"/>
          <w:spacing w:val="-6"/>
          <w:kern w:val="21"/>
          <w:sz w:val="24"/>
          <w:szCs w:val="24"/>
        </w:rPr>
        <w:t>+</w:t>
      </w:r>
      <w:r>
        <w:rPr>
          <w:rFonts w:hAnsi="宋体"/>
          <w:snapToGrid w:val="0"/>
          <w:color w:val="000000"/>
          <w:spacing w:val="-6"/>
          <w:kern w:val="21"/>
          <w:sz w:val="24"/>
          <w:szCs w:val="24"/>
        </w:rPr>
        <w:fldChar w:fldCharType="begin"/>
      </w:r>
      <w:r>
        <w:rPr>
          <w:rFonts w:hAnsi="宋体"/>
          <w:snapToGrid w:val="0"/>
          <w:color w:val="000000"/>
          <w:spacing w:val="-6"/>
          <w:kern w:val="21"/>
          <w:sz w:val="24"/>
          <w:szCs w:val="24"/>
        </w:rPr>
        <w:instrText xml:space="preserve"> = 4 \* GB3 \* MERGEFORMAT </w:instrText>
      </w:r>
      <w:r>
        <w:rPr>
          <w:rFonts w:hAnsi="宋体"/>
          <w:snapToGrid w:val="0"/>
          <w:color w:val="000000"/>
          <w:spacing w:val="-6"/>
          <w:kern w:val="21"/>
          <w:sz w:val="24"/>
          <w:szCs w:val="24"/>
        </w:rPr>
        <w:fldChar w:fldCharType="separate"/>
      </w:r>
      <w:r>
        <w:rPr>
          <w:rFonts w:hint="eastAsia" w:hAnsi="宋体"/>
          <w:sz w:val="24"/>
          <w:szCs w:val="24"/>
        </w:rPr>
        <w:t>④</w:t>
      </w:r>
      <w:r>
        <w:rPr>
          <w:rFonts w:hAnsi="宋体"/>
          <w:snapToGrid w:val="0"/>
          <w:color w:val="000000"/>
          <w:spacing w:val="-6"/>
          <w:kern w:val="21"/>
          <w:sz w:val="24"/>
          <w:szCs w:val="24"/>
        </w:rPr>
        <w:fldChar w:fldCharType="end"/>
      </w:r>
      <w:r>
        <w:rPr>
          <w:rFonts w:hAnsi="宋体"/>
          <w:snapToGrid w:val="0"/>
          <w:color w:val="000000"/>
          <w:spacing w:val="-6"/>
          <w:kern w:val="21"/>
          <w:sz w:val="24"/>
          <w:szCs w:val="24"/>
        </w:rPr>
        <w:t>-</w:t>
      </w:r>
      <w:r>
        <w:rPr>
          <w:rFonts w:hAnsi="宋体"/>
          <w:snapToGrid w:val="0"/>
          <w:color w:val="000000"/>
          <w:spacing w:val="-16"/>
          <w:kern w:val="21"/>
          <w:sz w:val="24"/>
          <w:szCs w:val="24"/>
        </w:rPr>
        <w:fldChar w:fldCharType="begin"/>
      </w:r>
      <w:r>
        <w:rPr>
          <w:rFonts w:hAnsi="宋体"/>
          <w:snapToGrid w:val="0"/>
          <w:color w:val="000000"/>
          <w:spacing w:val="-16"/>
          <w:kern w:val="21"/>
          <w:sz w:val="24"/>
          <w:szCs w:val="24"/>
        </w:rPr>
        <w:instrText xml:space="preserve"> = 5 \* GB3 \* MERGEFORMAT </w:instrText>
      </w:r>
      <w:r>
        <w:rPr>
          <w:rFonts w:hAnsi="宋体"/>
          <w:snapToGrid w:val="0"/>
          <w:color w:val="000000"/>
          <w:spacing w:val="-16"/>
          <w:kern w:val="21"/>
          <w:sz w:val="24"/>
          <w:szCs w:val="24"/>
        </w:rPr>
        <w:fldChar w:fldCharType="separate"/>
      </w:r>
      <w:r>
        <w:rPr>
          <w:rFonts w:hint="eastAsia" w:hAnsi="宋体"/>
          <w:sz w:val="24"/>
          <w:szCs w:val="24"/>
        </w:rPr>
        <w:t>⑤</w:t>
      </w:r>
      <w:r>
        <w:rPr>
          <w:rFonts w:hAnsi="宋体"/>
          <w:snapToGrid w:val="0"/>
          <w:color w:val="000000"/>
          <w:spacing w:val="-16"/>
          <w:kern w:val="21"/>
          <w:sz w:val="24"/>
          <w:szCs w:val="24"/>
        </w:rPr>
        <w:fldChar w:fldCharType="end"/>
      </w:r>
      <w:r>
        <w:rPr>
          <w:rFonts w:hAnsi="宋体"/>
          <w:snapToGrid w:val="0"/>
          <w:color w:val="000000"/>
          <w:spacing w:val="-16"/>
          <w:kern w:val="21"/>
          <w:sz w:val="24"/>
          <w:szCs w:val="24"/>
        </w:rPr>
        <w:t>；</w:t>
      </w:r>
      <w:r>
        <w:rPr>
          <w:rFonts w:hAnsi="宋体"/>
          <w:snapToGrid w:val="0"/>
          <w:color w:val="000000"/>
          <w:spacing w:val="-6"/>
          <w:kern w:val="21"/>
          <w:sz w:val="24"/>
          <w:szCs w:val="24"/>
        </w:rPr>
        <w:fldChar w:fldCharType="begin"/>
      </w:r>
      <w:r>
        <w:rPr>
          <w:rFonts w:hAnsi="宋体"/>
          <w:snapToGrid w:val="0"/>
          <w:color w:val="000000"/>
          <w:spacing w:val="-6"/>
          <w:kern w:val="21"/>
          <w:sz w:val="24"/>
          <w:szCs w:val="24"/>
        </w:rPr>
        <w:instrText xml:space="preserve"> = 7 \* GB3 \* MERGEFORMAT </w:instrText>
      </w:r>
      <w:r>
        <w:rPr>
          <w:rFonts w:hAnsi="宋体"/>
          <w:snapToGrid w:val="0"/>
          <w:color w:val="000000"/>
          <w:spacing w:val="-6"/>
          <w:kern w:val="21"/>
          <w:sz w:val="24"/>
          <w:szCs w:val="24"/>
        </w:rPr>
        <w:fldChar w:fldCharType="separate"/>
      </w:r>
      <w:r>
        <w:rPr>
          <w:rFonts w:hint="eastAsia" w:hAnsi="宋体"/>
          <w:sz w:val="24"/>
          <w:szCs w:val="24"/>
        </w:rPr>
        <w:t>⑦</w:t>
      </w:r>
      <w:r>
        <w:rPr>
          <w:rFonts w:hAnsi="宋体"/>
          <w:snapToGrid w:val="0"/>
          <w:color w:val="000000"/>
          <w:spacing w:val="-6"/>
          <w:kern w:val="21"/>
          <w:sz w:val="24"/>
          <w:szCs w:val="24"/>
        </w:rPr>
        <w:fldChar w:fldCharType="end"/>
      </w:r>
      <w:r>
        <w:rPr>
          <w:rFonts w:hAnsi="宋体"/>
          <w:snapToGrid w:val="0"/>
          <w:color w:val="000000"/>
          <w:spacing w:val="-6"/>
          <w:kern w:val="21"/>
          <w:sz w:val="24"/>
          <w:szCs w:val="24"/>
        </w:rPr>
        <w:t>=</w:t>
      </w:r>
      <w:r>
        <w:rPr>
          <w:rFonts w:hAnsi="宋体"/>
          <w:snapToGrid w:val="0"/>
          <w:color w:val="000000"/>
          <w:spacing w:val="-16"/>
          <w:kern w:val="21"/>
          <w:sz w:val="24"/>
          <w:szCs w:val="24"/>
        </w:rPr>
        <w:fldChar w:fldCharType="begin"/>
      </w:r>
      <w:r>
        <w:rPr>
          <w:rFonts w:hAnsi="宋体"/>
          <w:snapToGrid w:val="0"/>
          <w:color w:val="000000"/>
          <w:spacing w:val="-16"/>
          <w:kern w:val="21"/>
          <w:sz w:val="24"/>
          <w:szCs w:val="24"/>
        </w:rPr>
        <w:instrText xml:space="preserve"> = 6 \* GB3 \* MERGEFORMAT </w:instrText>
      </w:r>
      <w:r>
        <w:rPr>
          <w:rFonts w:hAnsi="宋体"/>
          <w:snapToGrid w:val="0"/>
          <w:color w:val="000000"/>
          <w:spacing w:val="-16"/>
          <w:kern w:val="21"/>
          <w:sz w:val="24"/>
          <w:szCs w:val="24"/>
        </w:rPr>
        <w:fldChar w:fldCharType="separate"/>
      </w:r>
      <w:r>
        <w:rPr>
          <w:rFonts w:hint="eastAsia" w:hAnsi="宋体"/>
          <w:sz w:val="24"/>
          <w:szCs w:val="24"/>
        </w:rPr>
        <w:t>⑥</w:t>
      </w:r>
      <w:r>
        <w:rPr>
          <w:rFonts w:hAnsi="宋体"/>
          <w:snapToGrid w:val="0"/>
          <w:color w:val="000000"/>
          <w:spacing w:val="-16"/>
          <w:kern w:val="21"/>
          <w:sz w:val="24"/>
          <w:szCs w:val="24"/>
        </w:rPr>
        <w:fldChar w:fldCharType="end"/>
      </w:r>
      <w:r>
        <w:rPr>
          <w:rFonts w:hAnsi="宋体"/>
          <w:snapToGrid w:val="0"/>
          <w:color w:val="000000"/>
          <w:spacing w:val="-16"/>
          <w:kern w:val="21"/>
          <w:sz w:val="24"/>
          <w:szCs w:val="24"/>
        </w:rPr>
        <w:t>-</w:t>
      </w:r>
      <w:r>
        <w:rPr>
          <w:rFonts w:hAnsi="宋体"/>
          <w:snapToGrid w:val="0"/>
          <w:color w:val="000000"/>
          <w:spacing w:val="-6"/>
          <w:kern w:val="21"/>
          <w:sz w:val="24"/>
          <w:szCs w:val="24"/>
        </w:rPr>
        <w:fldChar w:fldCharType="begin"/>
      </w:r>
      <w:r>
        <w:rPr>
          <w:rFonts w:hAnsi="宋体"/>
          <w:snapToGrid w:val="0"/>
          <w:color w:val="000000"/>
          <w:spacing w:val="-6"/>
          <w:kern w:val="21"/>
          <w:sz w:val="24"/>
          <w:szCs w:val="24"/>
        </w:rPr>
        <w:instrText xml:space="preserve"> = 1 \* GB3 \* MERGEFORMAT </w:instrText>
      </w:r>
      <w:r>
        <w:rPr>
          <w:rFonts w:hAnsi="宋体"/>
          <w:snapToGrid w:val="0"/>
          <w:color w:val="000000"/>
          <w:spacing w:val="-6"/>
          <w:kern w:val="21"/>
          <w:sz w:val="24"/>
          <w:szCs w:val="24"/>
        </w:rPr>
        <w:fldChar w:fldCharType="separate"/>
      </w:r>
      <w:r>
        <w:rPr>
          <w:rFonts w:hint="eastAsia" w:hAnsi="宋体"/>
          <w:sz w:val="24"/>
          <w:szCs w:val="24"/>
        </w:rPr>
        <w:t>①</w:t>
      </w:r>
      <w:r>
        <w:rPr>
          <w:rFonts w:hAnsi="宋体"/>
          <w:snapToGrid w:val="0"/>
          <w:color w:val="000000"/>
          <w:spacing w:val="-6"/>
          <w:kern w:val="21"/>
          <w:sz w:val="24"/>
          <w:szCs w:val="24"/>
        </w:rPr>
        <w:fldChar w:fldCharType="end"/>
      </w:r>
      <w:r>
        <w:rPr>
          <w:rFonts w:hint="eastAsia" w:hAnsi="宋体"/>
          <w:snapToGrid w:val="0"/>
          <w:color w:val="000000"/>
          <w:spacing w:val="-6"/>
          <w:kern w:val="21"/>
          <w:sz w:val="24"/>
          <w:szCs w:val="24"/>
          <w:lang w:eastAsia="zh-CN"/>
        </w:rPr>
        <w:t>；</w:t>
      </w:r>
      <w:r>
        <w:rPr>
          <w:rFonts w:hint="default" w:ascii="Times New Roman" w:hAnsi="Times New Roman" w:cs="Times New Roman"/>
          <w:sz w:val="24"/>
          <w:szCs w:val="24"/>
          <w:lang w:val="en-US" w:eastAsia="zh-CN"/>
        </w:rPr>
        <w:t>单位：t/a</w:t>
      </w:r>
    </w:p>
    <w:sectPr>
      <w:footerReference r:id="rId8" w:type="default"/>
      <w:pgSz w:w="16838" w:h="11906" w:orient="landscape"/>
      <w:pgMar w:top="680" w:right="794" w:bottom="567" w:left="794" w:header="0" w:footer="0"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TimesNewRomanPSMT">
    <w:altName w:val="Times New Roman"/>
    <w:panose1 w:val="00000000000000000000"/>
    <w:charset w:val="80"/>
    <w:family w:val="auto"/>
    <w:pitch w:val="default"/>
    <w:sig w:usb0="00000000" w:usb1="00000000" w:usb2="00000010" w:usb3="00000000" w:csb0="0006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32"/>
      </w:rPr>
    </w:pPr>
    <w:r>
      <w:fldChar w:fldCharType="begin"/>
    </w:r>
    <w:r>
      <w:rPr>
        <w:rStyle w:val="32"/>
      </w:rPr>
      <w:instrText xml:space="preserve">PAGE  </w:instrTex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rPr>
        <w:rFonts w:hint="eastAsia" w:eastAsia="宋体"/>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4</w:t>
                          </w:r>
                          <w:r>
                            <w:fldChar w:fldCharType="end"/>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SOb0a3gEAAL4DAAAOAAAAAAAA&#10;AAEAIAAAAB4BAABkcnMvZTJvRG9jLnhtbFBLBQYAAAAABgAGAFkBAABu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1318C3"/>
    <w:multiLevelType w:val="singleLevel"/>
    <w:tmpl w:val="A51318C3"/>
    <w:lvl w:ilvl="0" w:tentative="0">
      <w:start w:val="2"/>
      <w:numFmt w:val="decimal"/>
      <w:suff w:val="nothing"/>
      <w:lvlText w:val="（%1）"/>
      <w:lvlJc w:val="left"/>
    </w:lvl>
  </w:abstractNum>
  <w:abstractNum w:abstractNumId="1">
    <w:nsid w:val="275B7E2C"/>
    <w:multiLevelType w:val="singleLevel"/>
    <w:tmpl w:val="275B7E2C"/>
    <w:lvl w:ilvl="0" w:tentative="0">
      <w:start w:val="3"/>
      <w:numFmt w:val="decimal"/>
      <w:suff w:val="nothing"/>
      <w:lvlText w:val="（%1）"/>
      <w:lvlJc w:val="left"/>
    </w:lvl>
  </w:abstractNum>
  <w:abstractNum w:abstractNumId="2">
    <w:nsid w:val="3BD8B11B"/>
    <w:multiLevelType w:val="multilevel"/>
    <w:tmpl w:val="3BD8B11B"/>
    <w:lvl w:ilvl="0" w:tentative="0">
      <w:start w:val="1"/>
      <w:numFmt w:val="bullet"/>
      <w:pStyle w:val="9"/>
      <w:lvlText w:val=""/>
      <w:lvlJc w:val="left"/>
      <w:pPr>
        <w:tabs>
          <w:tab w:val="left" w:pos="2040"/>
        </w:tabs>
        <w:ind w:left="2040" w:hanging="360"/>
      </w:pPr>
      <w:rPr>
        <w:rFonts w:hint="default" w:ascii="Wingdings" w:hAnsi="Wingdings"/>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
    <w:nsid w:val="6A237430"/>
    <w:multiLevelType w:val="singleLevel"/>
    <w:tmpl w:val="6A237430"/>
    <w:lvl w:ilvl="0" w:tentative="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jYmUxNjEwZGRkYmM5OTA5MzZjYzY0NWMzNThlYmEifQ=="/>
  </w:docVars>
  <w:rsids>
    <w:rsidRoot w:val="00172A27"/>
    <w:rsid w:val="000060B3"/>
    <w:rsid w:val="00006725"/>
    <w:rsid w:val="0004364B"/>
    <w:rsid w:val="00061B1F"/>
    <w:rsid w:val="000733C4"/>
    <w:rsid w:val="00074783"/>
    <w:rsid w:val="0008070B"/>
    <w:rsid w:val="000810AC"/>
    <w:rsid w:val="00081A02"/>
    <w:rsid w:val="00082231"/>
    <w:rsid w:val="00092D38"/>
    <w:rsid w:val="0009377B"/>
    <w:rsid w:val="000A002F"/>
    <w:rsid w:val="000A20C9"/>
    <w:rsid w:val="000B058F"/>
    <w:rsid w:val="000B4467"/>
    <w:rsid w:val="000B4DB9"/>
    <w:rsid w:val="000C09AC"/>
    <w:rsid w:val="000C767F"/>
    <w:rsid w:val="000D5A44"/>
    <w:rsid w:val="000E1FCE"/>
    <w:rsid w:val="000E3ED2"/>
    <w:rsid w:val="00131F42"/>
    <w:rsid w:val="001357F1"/>
    <w:rsid w:val="00140FA8"/>
    <w:rsid w:val="00142FEB"/>
    <w:rsid w:val="00143A2D"/>
    <w:rsid w:val="00145A41"/>
    <w:rsid w:val="00151675"/>
    <w:rsid w:val="00157435"/>
    <w:rsid w:val="001707C3"/>
    <w:rsid w:val="0017504D"/>
    <w:rsid w:val="0017671A"/>
    <w:rsid w:val="00177422"/>
    <w:rsid w:val="00184590"/>
    <w:rsid w:val="001870D1"/>
    <w:rsid w:val="0018781E"/>
    <w:rsid w:val="0019262D"/>
    <w:rsid w:val="001A1B35"/>
    <w:rsid w:val="001A48A2"/>
    <w:rsid w:val="001A6F61"/>
    <w:rsid w:val="001B72B8"/>
    <w:rsid w:val="001C66E0"/>
    <w:rsid w:val="001C69B3"/>
    <w:rsid w:val="001D19F9"/>
    <w:rsid w:val="001D5595"/>
    <w:rsid w:val="001D7874"/>
    <w:rsid w:val="001D7F22"/>
    <w:rsid w:val="001F0F17"/>
    <w:rsid w:val="001F3347"/>
    <w:rsid w:val="001F3ADA"/>
    <w:rsid w:val="001F69E4"/>
    <w:rsid w:val="00207852"/>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C4449"/>
    <w:rsid w:val="002D1563"/>
    <w:rsid w:val="002D3DD0"/>
    <w:rsid w:val="002E1F3A"/>
    <w:rsid w:val="002E298A"/>
    <w:rsid w:val="00301978"/>
    <w:rsid w:val="0030332C"/>
    <w:rsid w:val="003051C2"/>
    <w:rsid w:val="00307A95"/>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146"/>
    <w:rsid w:val="00416D50"/>
    <w:rsid w:val="00416FD5"/>
    <w:rsid w:val="00417772"/>
    <w:rsid w:val="00420E6A"/>
    <w:rsid w:val="00425A9E"/>
    <w:rsid w:val="00426D6B"/>
    <w:rsid w:val="00431E6C"/>
    <w:rsid w:val="00433CE7"/>
    <w:rsid w:val="00452738"/>
    <w:rsid w:val="004528FC"/>
    <w:rsid w:val="00456091"/>
    <w:rsid w:val="00466321"/>
    <w:rsid w:val="00484B9B"/>
    <w:rsid w:val="004855F6"/>
    <w:rsid w:val="0048661E"/>
    <w:rsid w:val="00494670"/>
    <w:rsid w:val="00496DA9"/>
    <w:rsid w:val="004A3823"/>
    <w:rsid w:val="004B0D73"/>
    <w:rsid w:val="004C65B4"/>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63274"/>
    <w:rsid w:val="005720AE"/>
    <w:rsid w:val="00593490"/>
    <w:rsid w:val="00594D77"/>
    <w:rsid w:val="005969E4"/>
    <w:rsid w:val="005A06B7"/>
    <w:rsid w:val="005A1759"/>
    <w:rsid w:val="005A2D64"/>
    <w:rsid w:val="005A68A7"/>
    <w:rsid w:val="005B30D3"/>
    <w:rsid w:val="005D36AB"/>
    <w:rsid w:val="00617CC3"/>
    <w:rsid w:val="00627E6B"/>
    <w:rsid w:val="006360BD"/>
    <w:rsid w:val="006377A6"/>
    <w:rsid w:val="00637A3D"/>
    <w:rsid w:val="006411EF"/>
    <w:rsid w:val="00666F70"/>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3CE4"/>
    <w:rsid w:val="006E607E"/>
    <w:rsid w:val="00702588"/>
    <w:rsid w:val="00706C5D"/>
    <w:rsid w:val="007200AE"/>
    <w:rsid w:val="00732922"/>
    <w:rsid w:val="0075162E"/>
    <w:rsid w:val="0075194C"/>
    <w:rsid w:val="00754034"/>
    <w:rsid w:val="00756556"/>
    <w:rsid w:val="007618C4"/>
    <w:rsid w:val="00765FFC"/>
    <w:rsid w:val="00767980"/>
    <w:rsid w:val="00770B19"/>
    <w:rsid w:val="00771B65"/>
    <w:rsid w:val="0077463F"/>
    <w:rsid w:val="007836EA"/>
    <w:rsid w:val="00784CDA"/>
    <w:rsid w:val="007906C4"/>
    <w:rsid w:val="007940EA"/>
    <w:rsid w:val="007967E8"/>
    <w:rsid w:val="007A2170"/>
    <w:rsid w:val="007A22BF"/>
    <w:rsid w:val="007A3323"/>
    <w:rsid w:val="007B72B8"/>
    <w:rsid w:val="007B7A58"/>
    <w:rsid w:val="007C21B5"/>
    <w:rsid w:val="007C3E9C"/>
    <w:rsid w:val="007E4BD2"/>
    <w:rsid w:val="00801393"/>
    <w:rsid w:val="00802F88"/>
    <w:rsid w:val="0081293E"/>
    <w:rsid w:val="00815465"/>
    <w:rsid w:val="00817E9A"/>
    <w:rsid w:val="008306BD"/>
    <w:rsid w:val="00831A80"/>
    <w:rsid w:val="00833743"/>
    <w:rsid w:val="008340A4"/>
    <w:rsid w:val="00863B59"/>
    <w:rsid w:val="0087135F"/>
    <w:rsid w:val="00872D94"/>
    <w:rsid w:val="00880364"/>
    <w:rsid w:val="00891592"/>
    <w:rsid w:val="00891E9E"/>
    <w:rsid w:val="008A2F68"/>
    <w:rsid w:val="008B4FA6"/>
    <w:rsid w:val="008B5282"/>
    <w:rsid w:val="008B7C17"/>
    <w:rsid w:val="008C2D01"/>
    <w:rsid w:val="008C40E6"/>
    <w:rsid w:val="008C6C96"/>
    <w:rsid w:val="008D0F7A"/>
    <w:rsid w:val="008D12C8"/>
    <w:rsid w:val="008D68E4"/>
    <w:rsid w:val="008E0506"/>
    <w:rsid w:val="008E0CFF"/>
    <w:rsid w:val="008E5D6B"/>
    <w:rsid w:val="008E76F0"/>
    <w:rsid w:val="008F15FE"/>
    <w:rsid w:val="008F2D29"/>
    <w:rsid w:val="008F5187"/>
    <w:rsid w:val="008F60D8"/>
    <w:rsid w:val="00902727"/>
    <w:rsid w:val="0090312B"/>
    <w:rsid w:val="0091736D"/>
    <w:rsid w:val="00921FC6"/>
    <w:rsid w:val="0093037A"/>
    <w:rsid w:val="0094154D"/>
    <w:rsid w:val="0095155F"/>
    <w:rsid w:val="00954429"/>
    <w:rsid w:val="009563CE"/>
    <w:rsid w:val="00976328"/>
    <w:rsid w:val="0097680D"/>
    <w:rsid w:val="00982438"/>
    <w:rsid w:val="0098404C"/>
    <w:rsid w:val="00985283"/>
    <w:rsid w:val="00995992"/>
    <w:rsid w:val="00995CA5"/>
    <w:rsid w:val="009A03E5"/>
    <w:rsid w:val="009A0F3B"/>
    <w:rsid w:val="009A1BB4"/>
    <w:rsid w:val="009A2628"/>
    <w:rsid w:val="009A3200"/>
    <w:rsid w:val="009B0897"/>
    <w:rsid w:val="009B7BD9"/>
    <w:rsid w:val="009C7DD5"/>
    <w:rsid w:val="009E227D"/>
    <w:rsid w:val="009E5019"/>
    <w:rsid w:val="00A04F1B"/>
    <w:rsid w:val="00A0501B"/>
    <w:rsid w:val="00A05910"/>
    <w:rsid w:val="00A14947"/>
    <w:rsid w:val="00A32835"/>
    <w:rsid w:val="00A32A83"/>
    <w:rsid w:val="00A368DB"/>
    <w:rsid w:val="00A423AA"/>
    <w:rsid w:val="00A53EC6"/>
    <w:rsid w:val="00A55C0F"/>
    <w:rsid w:val="00A83E9B"/>
    <w:rsid w:val="00A8713F"/>
    <w:rsid w:val="00A90BA1"/>
    <w:rsid w:val="00A97A9A"/>
    <w:rsid w:val="00AA0671"/>
    <w:rsid w:val="00AA2531"/>
    <w:rsid w:val="00AB1E09"/>
    <w:rsid w:val="00AB5330"/>
    <w:rsid w:val="00AB7747"/>
    <w:rsid w:val="00AB7A64"/>
    <w:rsid w:val="00AC14CE"/>
    <w:rsid w:val="00AC2A56"/>
    <w:rsid w:val="00AD055E"/>
    <w:rsid w:val="00AD47A7"/>
    <w:rsid w:val="00AE4E5E"/>
    <w:rsid w:val="00AF0CBF"/>
    <w:rsid w:val="00AF257F"/>
    <w:rsid w:val="00AF33CF"/>
    <w:rsid w:val="00AF4D50"/>
    <w:rsid w:val="00AF6179"/>
    <w:rsid w:val="00B1295A"/>
    <w:rsid w:val="00B20A45"/>
    <w:rsid w:val="00B22C5C"/>
    <w:rsid w:val="00B24051"/>
    <w:rsid w:val="00B24F30"/>
    <w:rsid w:val="00B31ABF"/>
    <w:rsid w:val="00B32474"/>
    <w:rsid w:val="00B33BE3"/>
    <w:rsid w:val="00B40651"/>
    <w:rsid w:val="00B4396B"/>
    <w:rsid w:val="00B52690"/>
    <w:rsid w:val="00B53B5D"/>
    <w:rsid w:val="00B6055E"/>
    <w:rsid w:val="00B6317D"/>
    <w:rsid w:val="00B63773"/>
    <w:rsid w:val="00B7723F"/>
    <w:rsid w:val="00B80534"/>
    <w:rsid w:val="00B8433C"/>
    <w:rsid w:val="00B87491"/>
    <w:rsid w:val="00B92181"/>
    <w:rsid w:val="00BA29E9"/>
    <w:rsid w:val="00BA7142"/>
    <w:rsid w:val="00BB237C"/>
    <w:rsid w:val="00BB41A3"/>
    <w:rsid w:val="00BC32DC"/>
    <w:rsid w:val="00BC35B6"/>
    <w:rsid w:val="00BD1B51"/>
    <w:rsid w:val="00BD4596"/>
    <w:rsid w:val="00BE1405"/>
    <w:rsid w:val="00BE312D"/>
    <w:rsid w:val="00BE72D5"/>
    <w:rsid w:val="00BF0E19"/>
    <w:rsid w:val="00BF1C20"/>
    <w:rsid w:val="00C10578"/>
    <w:rsid w:val="00C135BC"/>
    <w:rsid w:val="00C15C95"/>
    <w:rsid w:val="00C2596A"/>
    <w:rsid w:val="00C27537"/>
    <w:rsid w:val="00C328FE"/>
    <w:rsid w:val="00C33507"/>
    <w:rsid w:val="00C33E5A"/>
    <w:rsid w:val="00C4409D"/>
    <w:rsid w:val="00C44E72"/>
    <w:rsid w:val="00C45A06"/>
    <w:rsid w:val="00C47E5B"/>
    <w:rsid w:val="00C6021A"/>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16A9A"/>
    <w:rsid w:val="00D308ED"/>
    <w:rsid w:val="00D337AB"/>
    <w:rsid w:val="00D34A63"/>
    <w:rsid w:val="00D36D86"/>
    <w:rsid w:val="00D428AA"/>
    <w:rsid w:val="00D50A34"/>
    <w:rsid w:val="00D53EFA"/>
    <w:rsid w:val="00D743B5"/>
    <w:rsid w:val="00D81B10"/>
    <w:rsid w:val="00D94A7C"/>
    <w:rsid w:val="00D95896"/>
    <w:rsid w:val="00DB2983"/>
    <w:rsid w:val="00DC1257"/>
    <w:rsid w:val="00DC3DC0"/>
    <w:rsid w:val="00DC5B2B"/>
    <w:rsid w:val="00DD318D"/>
    <w:rsid w:val="00DE185F"/>
    <w:rsid w:val="00DF2E12"/>
    <w:rsid w:val="00DF514A"/>
    <w:rsid w:val="00DF6690"/>
    <w:rsid w:val="00DF6804"/>
    <w:rsid w:val="00E0358D"/>
    <w:rsid w:val="00E04323"/>
    <w:rsid w:val="00E070A2"/>
    <w:rsid w:val="00E253C0"/>
    <w:rsid w:val="00E2656A"/>
    <w:rsid w:val="00E371FE"/>
    <w:rsid w:val="00E412D0"/>
    <w:rsid w:val="00E46AD2"/>
    <w:rsid w:val="00E56322"/>
    <w:rsid w:val="00E60982"/>
    <w:rsid w:val="00E62C62"/>
    <w:rsid w:val="00E654C1"/>
    <w:rsid w:val="00E6599E"/>
    <w:rsid w:val="00E65D97"/>
    <w:rsid w:val="00E72A5A"/>
    <w:rsid w:val="00E73354"/>
    <w:rsid w:val="00E73D17"/>
    <w:rsid w:val="00E9242D"/>
    <w:rsid w:val="00EB5255"/>
    <w:rsid w:val="00EB5C47"/>
    <w:rsid w:val="00ED0639"/>
    <w:rsid w:val="00EE3F60"/>
    <w:rsid w:val="00EF4755"/>
    <w:rsid w:val="00EF7135"/>
    <w:rsid w:val="00F027DB"/>
    <w:rsid w:val="00F05477"/>
    <w:rsid w:val="00F14A7A"/>
    <w:rsid w:val="00F22985"/>
    <w:rsid w:val="00F3383E"/>
    <w:rsid w:val="00F465A7"/>
    <w:rsid w:val="00F50B7C"/>
    <w:rsid w:val="00F53283"/>
    <w:rsid w:val="00F550E6"/>
    <w:rsid w:val="00F705B3"/>
    <w:rsid w:val="00F74345"/>
    <w:rsid w:val="00F80A0A"/>
    <w:rsid w:val="00F82B19"/>
    <w:rsid w:val="00F87D1C"/>
    <w:rsid w:val="00F9212D"/>
    <w:rsid w:val="00F9432B"/>
    <w:rsid w:val="00F965DA"/>
    <w:rsid w:val="00FA406A"/>
    <w:rsid w:val="00FB503A"/>
    <w:rsid w:val="00FB516C"/>
    <w:rsid w:val="00FD0236"/>
    <w:rsid w:val="00FD18F4"/>
    <w:rsid w:val="00FD54DB"/>
    <w:rsid w:val="00FD619F"/>
    <w:rsid w:val="01062EEC"/>
    <w:rsid w:val="01080CEC"/>
    <w:rsid w:val="01091951"/>
    <w:rsid w:val="010A2CBD"/>
    <w:rsid w:val="010E6A5C"/>
    <w:rsid w:val="010F23C2"/>
    <w:rsid w:val="01152674"/>
    <w:rsid w:val="01157523"/>
    <w:rsid w:val="01180A29"/>
    <w:rsid w:val="011D1F8D"/>
    <w:rsid w:val="01290F7E"/>
    <w:rsid w:val="012A173C"/>
    <w:rsid w:val="012C1337"/>
    <w:rsid w:val="012F345B"/>
    <w:rsid w:val="013F0B1F"/>
    <w:rsid w:val="0143505E"/>
    <w:rsid w:val="01435733"/>
    <w:rsid w:val="014A2DD9"/>
    <w:rsid w:val="014C4DA3"/>
    <w:rsid w:val="014D4677"/>
    <w:rsid w:val="0153724B"/>
    <w:rsid w:val="015511EF"/>
    <w:rsid w:val="015C5E5A"/>
    <w:rsid w:val="015D1E09"/>
    <w:rsid w:val="01641286"/>
    <w:rsid w:val="01655E65"/>
    <w:rsid w:val="016A6936"/>
    <w:rsid w:val="016E196E"/>
    <w:rsid w:val="0172085D"/>
    <w:rsid w:val="017E118E"/>
    <w:rsid w:val="01807EE6"/>
    <w:rsid w:val="0183453D"/>
    <w:rsid w:val="01891B53"/>
    <w:rsid w:val="018A6B8A"/>
    <w:rsid w:val="018E7169"/>
    <w:rsid w:val="018F645A"/>
    <w:rsid w:val="019B3634"/>
    <w:rsid w:val="019D115B"/>
    <w:rsid w:val="019E7A97"/>
    <w:rsid w:val="01A76E5C"/>
    <w:rsid w:val="01AA1175"/>
    <w:rsid w:val="01AA7BF1"/>
    <w:rsid w:val="01AC3A93"/>
    <w:rsid w:val="01AF70E0"/>
    <w:rsid w:val="01B1388D"/>
    <w:rsid w:val="01B644D5"/>
    <w:rsid w:val="01B7124E"/>
    <w:rsid w:val="01B8018D"/>
    <w:rsid w:val="01BF262E"/>
    <w:rsid w:val="01BF6AC6"/>
    <w:rsid w:val="01C04E49"/>
    <w:rsid w:val="01C5182E"/>
    <w:rsid w:val="01C81A10"/>
    <w:rsid w:val="01CB1E01"/>
    <w:rsid w:val="01D0339E"/>
    <w:rsid w:val="01D11B9F"/>
    <w:rsid w:val="01D455A5"/>
    <w:rsid w:val="01DD2EF0"/>
    <w:rsid w:val="01E274B5"/>
    <w:rsid w:val="01E65AB9"/>
    <w:rsid w:val="01E80618"/>
    <w:rsid w:val="01ED4312"/>
    <w:rsid w:val="01EE57A2"/>
    <w:rsid w:val="01F8525A"/>
    <w:rsid w:val="01FB40D3"/>
    <w:rsid w:val="020016E9"/>
    <w:rsid w:val="02015403"/>
    <w:rsid w:val="0203056D"/>
    <w:rsid w:val="020459F6"/>
    <w:rsid w:val="02084EFC"/>
    <w:rsid w:val="020C008E"/>
    <w:rsid w:val="020C07BD"/>
    <w:rsid w:val="021041BE"/>
    <w:rsid w:val="021B4775"/>
    <w:rsid w:val="021D0928"/>
    <w:rsid w:val="02247ACE"/>
    <w:rsid w:val="02284D32"/>
    <w:rsid w:val="022B570E"/>
    <w:rsid w:val="022C24DE"/>
    <w:rsid w:val="02301FCF"/>
    <w:rsid w:val="02306473"/>
    <w:rsid w:val="023A4BFB"/>
    <w:rsid w:val="023E588A"/>
    <w:rsid w:val="024141DC"/>
    <w:rsid w:val="02421D02"/>
    <w:rsid w:val="0246169E"/>
    <w:rsid w:val="02462C61"/>
    <w:rsid w:val="0247556A"/>
    <w:rsid w:val="024912E2"/>
    <w:rsid w:val="024B505A"/>
    <w:rsid w:val="024E06A7"/>
    <w:rsid w:val="025308EF"/>
    <w:rsid w:val="02533F0F"/>
    <w:rsid w:val="025C0A91"/>
    <w:rsid w:val="025D4D8E"/>
    <w:rsid w:val="026928BB"/>
    <w:rsid w:val="02697903"/>
    <w:rsid w:val="026B74AB"/>
    <w:rsid w:val="026F24BD"/>
    <w:rsid w:val="027520D7"/>
    <w:rsid w:val="027C63E4"/>
    <w:rsid w:val="02881E0B"/>
    <w:rsid w:val="02896F36"/>
    <w:rsid w:val="028D25B7"/>
    <w:rsid w:val="029254B0"/>
    <w:rsid w:val="029449E1"/>
    <w:rsid w:val="02957093"/>
    <w:rsid w:val="02A64CFB"/>
    <w:rsid w:val="02A67835"/>
    <w:rsid w:val="02A97FD3"/>
    <w:rsid w:val="02AF37B5"/>
    <w:rsid w:val="02B0277E"/>
    <w:rsid w:val="02B0310F"/>
    <w:rsid w:val="02B31DAC"/>
    <w:rsid w:val="02B84A5C"/>
    <w:rsid w:val="02BC1AB4"/>
    <w:rsid w:val="02C15A63"/>
    <w:rsid w:val="02C43A04"/>
    <w:rsid w:val="02C50222"/>
    <w:rsid w:val="02CA0E59"/>
    <w:rsid w:val="02D62EBF"/>
    <w:rsid w:val="02D64551"/>
    <w:rsid w:val="02D8298D"/>
    <w:rsid w:val="02DE7C7D"/>
    <w:rsid w:val="02E2350B"/>
    <w:rsid w:val="02E62FD5"/>
    <w:rsid w:val="02ED6112"/>
    <w:rsid w:val="02F322C9"/>
    <w:rsid w:val="02F54FC6"/>
    <w:rsid w:val="02F96569"/>
    <w:rsid w:val="02FF6C5F"/>
    <w:rsid w:val="03004E02"/>
    <w:rsid w:val="03007BDD"/>
    <w:rsid w:val="03031B54"/>
    <w:rsid w:val="03092740"/>
    <w:rsid w:val="030B4C81"/>
    <w:rsid w:val="030B6598"/>
    <w:rsid w:val="031017EA"/>
    <w:rsid w:val="0314094B"/>
    <w:rsid w:val="03156396"/>
    <w:rsid w:val="03180D02"/>
    <w:rsid w:val="031B575B"/>
    <w:rsid w:val="031C4D67"/>
    <w:rsid w:val="03200295"/>
    <w:rsid w:val="032048DF"/>
    <w:rsid w:val="03237D85"/>
    <w:rsid w:val="03253AFD"/>
    <w:rsid w:val="0328714A"/>
    <w:rsid w:val="03304250"/>
    <w:rsid w:val="03304ED3"/>
    <w:rsid w:val="03306275"/>
    <w:rsid w:val="03337D7C"/>
    <w:rsid w:val="033755DF"/>
    <w:rsid w:val="0338346B"/>
    <w:rsid w:val="033D5774"/>
    <w:rsid w:val="034456E0"/>
    <w:rsid w:val="0349394A"/>
    <w:rsid w:val="034A3564"/>
    <w:rsid w:val="034B768F"/>
    <w:rsid w:val="034C0838"/>
    <w:rsid w:val="035241C7"/>
    <w:rsid w:val="03556490"/>
    <w:rsid w:val="035A6C57"/>
    <w:rsid w:val="035E700F"/>
    <w:rsid w:val="0361440A"/>
    <w:rsid w:val="03653975"/>
    <w:rsid w:val="0365404F"/>
    <w:rsid w:val="03655CA8"/>
    <w:rsid w:val="0366123A"/>
    <w:rsid w:val="036B3AE5"/>
    <w:rsid w:val="037315D9"/>
    <w:rsid w:val="037465B4"/>
    <w:rsid w:val="037863C5"/>
    <w:rsid w:val="037B371D"/>
    <w:rsid w:val="037C7496"/>
    <w:rsid w:val="037E320E"/>
    <w:rsid w:val="038032C4"/>
    <w:rsid w:val="038D16A3"/>
    <w:rsid w:val="038F0F77"/>
    <w:rsid w:val="039056C4"/>
    <w:rsid w:val="03934C43"/>
    <w:rsid w:val="039624F4"/>
    <w:rsid w:val="0396353B"/>
    <w:rsid w:val="039663B2"/>
    <w:rsid w:val="039B28EB"/>
    <w:rsid w:val="039B5B6E"/>
    <w:rsid w:val="039D18E6"/>
    <w:rsid w:val="03A10CAA"/>
    <w:rsid w:val="03A67001"/>
    <w:rsid w:val="03AD224D"/>
    <w:rsid w:val="03AD2523"/>
    <w:rsid w:val="03AD764F"/>
    <w:rsid w:val="03AF786B"/>
    <w:rsid w:val="03B1713F"/>
    <w:rsid w:val="03B32BAB"/>
    <w:rsid w:val="03B441A6"/>
    <w:rsid w:val="03B46C2F"/>
    <w:rsid w:val="03B7733E"/>
    <w:rsid w:val="03BB7FBE"/>
    <w:rsid w:val="03BC0A04"/>
    <w:rsid w:val="03BE5C4F"/>
    <w:rsid w:val="03C03826"/>
    <w:rsid w:val="03C37E30"/>
    <w:rsid w:val="03C56B45"/>
    <w:rsid w:val="03C63A3B"/>
    <w:rsid w:val="03CA0201"/>
    <w:rsid w:val="03CC4200"/>
    <w:rsid w:val="03D67463"/>
    <w:rsid w:val="03D90E53"/>
    <w:rsid w:val="03DF1EFE"/>
    <w:rsid w:val="03EA7B21"/>
    <w:rsid w:val="03EF5EB9"/>
    <w:rsid w:val="03F434D0"/>
    <w:rsid w:val="03F84071"/>
    <w:rsid w:val="03FD6ADB"/>
    <w:rsid w:val="040000C7"/>
    <w:rsid w:val="04002B54"/>
    <w:rsid w:val="04043713"/>
    <w:rsid w:val="040764B8"/>
    <w:rsid w:val="040861EB"/>
    <w:rsid w:val="04087BC8"/>
    <w:rsid w:val="040C0819"/>
    <w:rsid w:val="040C1A2D"/>
    <w:rsid w:val="04137DFA"/>
    <w:rsid w:val="0414147C"/>
    <w:rsid w:val="041476CE"/>
    <w:rsid w:val="04171BD3"/>
    <w:rsid w:val="041A29A1"/>
    <w:rsid w:val="042042C5"/>
    <w:rsid w:val="042B2B9A"/>
    <w:rsid w:val="042E69E2"/>
    <w:rsid w:val="04315092"/>
    <w:rsid w:val="04367644"/>
    <w:rsid w:val="043844A9"/>
    <w:rsid w:val="043A768D"/>
    <w:rsid w:val="04455294"/>
    <w:rsid w:val="044704D0"/>
    <w:rsid w:val="04497C3C"/>
    <w:rsid w:val="044A06DB"/>
    <w:rsid w:val="044B2ED9"/>
    <w:rsid w:val="044F69C7"/>
    <w:rsid w:val="04504BAA"/>
    <w:rsid w:val="04545D1C"/>
    <w:rsid w:val="045C138F"/>
    <w:rsid w:val="045C668A"/>
    <w:rsid w:val="045D6A08"/>
    <w:rsid w:val="04642403"/>
    <w:rsid w:val="046850F5"/>
    <w:rsid w:val="046E6DDE"/>
    <w:rsid w:val="047168CE"/>
    <w:rsid w:val="0472110A"/>
    <w:rsid w:val="0475016D"/>
    <w:rsid w:val="047850B0"/>
    <w:rsid w:val="047D100A"/>
    <w:rsid w:val="047E5B39"/>
    <w:rsid w:val="047F20A7"/>
    <w:rsid w:val="04841E1E"/>
    <w:rsid w:val="048760F2"/>
    <w:rsid w:val="04877015"/>
    <w:rsid w:val="048900BC"/>
    <w:rsid w:val="048A28FC"/>
    <w:rsid w:val="04960A1E"/>
    <w:rsid w:val="049C150A"/>
    <w:rsid w:val="049C1B9D"/>
    <w:rsid w:val="049D4E18"/>
    <w:rsid w:val="049D6C81"/>
    <w:rsid w:val="049E3BEA"/>
    <w:rsid w:val="049F24F5"/>
    <w:rsid w:val="04A4425A"/>
    <w:rsid w:val="04A44EF6"/>
    <w:rsid w:val="04A526C8"/>
    <w:rsid w:val="04A9250C"/>
    <w:rsid w:val="04AB59EC"/>
    <w:rsid w:val="04AE7B23"/>
    <w:rsid w:val="04B073F7"/>
    <w:rsid w:val="04B124D7"/>
    <w:rsid w:val="04B21A46"/>
    <w:rsid w:val="04B22B69"/>
    <w:rsid w:val="04BA64C7"/>
    <w:rsid w:val="04BE2226"/>
    <w:rsid w:val="04C24DB6"/>
    <w:rsid w:val="04C52BED"/>
    <w:rsid w:val="04CA1777"/>
    <w:rsid w:val="04CB5FDF"/>
    <w:rsid w:val="04CC1D57"/>
    <w:rsid w:val="04CE1F73"/>
    <w:rsid w:val="04D07665"/>
    <w:rsid w:val="04D12020"/>
    <w:rsid w:val="04D70107"/>
    <w:rsid w:val="04E00999"/>
    <w:rsid w:val="04E46BCA"/>
    <w:rsid w:val="04E6106A"/>
    <w:rsid w:val="04E77EA3"/>
    <w:rsid w:val="04E83035"/>
    <w:rsid w:val="04E946B7"/>
    <w:rsid w:val="04EB61D0"/>
    <w:rsid w:val="04EE24DD"/>
    <w:rsid w:val="04EF54F8"/>
    <w:rsid w:val="04F03C97"/>
    <w:rsid w:val="04F04BD3"/>
    <w:rsid w:val="04F76DD4"/>
    <w:rsid w:val="04FF45C1"/>
    <w:rsid w:val="050712EC"/>
    <w:rsid w:val="05094D59"/>
    <w:rsid w:val="050B1ABD"/>
    <w:rsid w:val="050D4849"/>
    <w:rsid w:val="050D65F7"/>
    <w:rsid w:val="050F1EBD"/>
    <w:rsid w:val="05166F96"/>
    <w:rsid w:val="051F2535"/>
    <w:rsid w:val="05203747"/>
    <w:rsid w:val="05226B98"/>
    <w:rsid w:val="0526590B"/>
    <w:rsid w:val="052D0A47"/>
    <w:rsid w:val="052E2B52"/>
    <w:rsid w:val="052F465D"/>
    <w:rsid w:val="05331242"/>
    <w:rsid w:val="05353DA0"/>
    <w:rsid w:val="05373674"/>
    <w:rsid w:val="053C0C8A"/>
    <w:rsid w:val="0544363C"/>
    <w:rsid w:val="05527330"/>
    <w:rsid w:val="05550D6C"/>
    <w:rsid w:val="055511AF"/>
    <w:rsid w:val="055A7363"/>
    <w:rsid w:val="055E4077"/>
    <w:rsid w:val="056A3A4A"/>
    <w:rsid w:val="056B1570"/>
    <w:rsid w:val="056D7096"/>
    <w:rsid w:val="056E1586"/>
    <w:rsid w:val="056F7375"/>
    <w:rsid w:val="05706B86"/>
    <w:rsid w:val="0576654E"/>
    <w:rsid w:val="057759A8"/>
    <w:rsid w:val="057856C9"/>
    <w:rsid w:val="05792407"/>
    <w:rsid w:val="0582455A"/>
    <w:rsid w:val="05832D5D"/>
    <w:rsid w:val="05870E06"/>
    <w:rsid w:val="05882122"/>
    <w:rsid w:val="0589009F"/>
    <w:rsid w:val="0589226D"/>
    <w:rsid w:val="058A057E"/>
    <w:rsid w:val="058F34B0"/>
    <w:rsid w:val="059050F1"/>
    <w:rsid w:val="05924D4E"/>
    <w:rsid w:val="05930A8D"/>
    <w:rsid w:val="05982A18"/>
    <w:rsid w:val="059E36F3"/>
    <w:rsid w:val="05A02AEC"/>
    <w:rsid w:val="05A75A44"/>
    <w:rsid w:val="05A77907"/>
    <w:rsid w:val="05AD1B88"/>
    <w:rsid w:val="05B32E8C"/>
    <w:rsid w:val="05B9052D"/>
    <w:rsid w:val="05B965CF"/>
    <w:rsid w:val="05BC5D2F"/>
    <w:rsid w:val="05BE5D20"/>
    <w:rsid w:val="05BE7BA6"/>
    <w:rsid w:val="05C31BD3"/>
    <w:rsid w:val="05C375FE"/>
    <w:rsid w:val="05C72C4A"/>
    <w:rsid w:val="05C915C6"/>
    <w:rsid w:val="05CA273A"/>
    <w:rsid w:val="05CC64B2"/>
    <w:rsid w:val="05D26B16"/>
    <w:rsid w:val="05D84E57"/>
    <w:rsid w:val="05DB558C"/>
    <w:rsid w:val="05DB66F5"/>
    <w:rsid w:val="05E70467"/>
    <w:rsid w:val="05E80E12"/>
    <w:rsid w:val="05E85116"/>
    <w:rsid w:val="05EA4B8A"/>
    <w:rsid w:val="05F15C6E"/>
    <w:rsid w:val="05F50584"/>
    <w:rsid w:val="05F607BC"/>
    <w:rsid w:val="05F83EAE"/>
    <w:rsid w:val="05FE4EE1"/>
    <w:rsid w:val="060557D7"/>
    <w:rsid w:val="06135E8F"/>
    <w:rsid w:val="0617173F"/>
    <w:rsid w:val="061816F7"/>
    <w:rsid w:val="06190624"/>
    <w:rsid w:val="0624009C"/>
    <w:rsid w:val="062A31D9"/>
    <w:rsid w:val="062B2B49"/>
    <w:rsid w:val="0636156A"/>
    <w:rsid w:val="06361B7E"/>
    <w:rsid w:val="063D056E"/>
    <w:rsid w:val="063D1448"/>
    <w:rsid w:val="063E7D85"/>
    <w:rsid w:val="06466F4A"/>
    <w:rsid w:val="06500E91"/>
    <w:rsid w:val="06554997"/>
    <w:rsid w:val="06563FCE"/>
    <w:rsid w:val="065777A3"/>
    <w:rsid w:val="065F0ADF"/>
    <w:rsid w:val="065F1C81"/>
    <w:rsid w:val="065F6C03"/>
    <w:rsid w:val="06622973"/>
    <w:rsid w:val="06652463"/>
    <w:rsid w:val="06667274"/>
    <w:rsid w:val="06691F53"/>
    <w:rsid w:val="0671705A"/>
    <w:rsid w:val="0676641E"/>
    <w:rsid w:val="06781795"/>
    <w:rsid w:val="067D155B"/>
    <w:rsid w:val="06826B71"/>
    <w:rsid w:val="06840B3B"/>
    <w:rsid w:val="0688030A"/>
    <w:rsid w:val="06950ADD"/>
    <w:rsid w:val="0696086E"/>
    <w:rsid w:val="0696261C"/>
    <w:rsid w:val="069978C8"/>
    <w:rsid w:val="069B3464"/>
    <w:rsid w:val="069C358D"/>
    <w:rsid w:val="06A62D48"/>
    <w:rsid w:val="06A80569"/>
    <w:rsid w:val="06A938AC"/>
    <w:rsid w:val="06AE5BB8"/>
    <w:rsid w:val="06B31420"/>
    <w:rsid w:val="06B34F7C"/>
    <w:rsid w:val="06B41778"/>
    <w:rsid w:val="06B64109"/>
    <w:rsid w:val="06B65283"/>
    <w:rsid w:val="06B87A6D"/>
    <w:rsid w:val="06BE224E"/>
    <w:rsid w:val="06C54CB0"/>
    <w:rsid w:val="06CE625A"/>
    <w:rsid w:val="06D05B2E"/>
    <w:rsid w:val="06D51397"/>
    <w:rsid w:val="06D870D9"/>
    <w:rsid w:val="06DA69AD"/>
    <w:rsid w:val="06E467AB"/>
    <w:rsid w:val="06E73135"/>
    <w:rsid w:val="06E75F94"/>
    <w:rsid w:val="06E833CF"/>
    <w:rsid w:val="06E93094"/>
    <w:rsid w:val="06EB0BBA"/>
    <w:rsid w:val="06F37A6F"/>
    <w:rsid w:val="06F405DC"/>
    <w:rsid w:val="06F94B8F"/>
    <w:rsid w:val="06FD5E53"/>
    <w:rsid w:val="06FE43E2"/>
    <w:rsid w:val="0706768E"/>
    <w:rsid w:val="070932A9"/>
    <w:rsid w:val="07122BFB"/>
    <w:rsid w:val="0712411D"/>
    <w:rsid w:val="071446CF"/>
    <w:rsid w:val="07155C37"/>
    <w:rsid w:val="071B7C72"/>
    <w:rsid w:val="071C314A"/>
    <w:rsid w:val="071C5217"/>
    <w:rsid w:val="071F1C7A"/>
    <w:rsid w:val="071F2612"/>
    <w:rsid w:val="07241B97"/>
    <w:rsid w:val="07293586"/>
    <w:rsid w:val="07295285"/>
    <w:rsid w:val="072D2F81"/>
    <w:rsid w:val="07320CEB"/>
    <w:rsid w:val="073267E9"/>
    <w:rsid w:val="07342561"/>
    <w:rsid w:val="07383946"/>
    <w:rsid w:val="073C7668"/>
    <w:rsid w:val="074107DA"/>
    <w:rsid w:val="07481B68"/>
    <w:rsid w:val="07487DBA"/>
    <w:rsid w:val="074D7003"/>
    <w:rsid w:val="074F766C"/>
    <w:rsid w:val="075048D3"/>
    <w:rsid w:val="07504EC1"/>
    <w:rsid w:val="07550729"/>
    <w:rsid w:val="0757624F"/>
    <w:rsid w:val="07594F32"/>
    <w:rsid w:val="07596D61"/>
    <w:rsid w:val="075F5104"/>
    <w:rsid w:val="076056E9"/>
    <w:rsid w:val="07636392"/>
    <w:rsid w:val="07683FB9"/>
    <w:rsid w:val="076D15CF"/>
    <w:rsid w:val="076F7104"/>
    <w:rsid w:val="07741E3E"/>
    <w:rsid w:val="07770C56"/>
    <w:rsid w:val="07771EBA"/>
    <w:rsid w:val="0779529F"/>
    <w:rsid w:val="077A2169"/>
    <w:rsid w:val="07867FEC"/>
    <w:rsid w:val="078A2181"/>
    <w:rsid w:val="078A734E"/>
    <w:rsid w:val="078E1545"/>
    <w:rsid w:val="07904A22"/>
    <w:rsid w:val="07925DD7"/>
    <w:rsid w:val="07A430E2"/>
    <w:rsid w:val="07A5520D"/>
    <w:rsid w:val="07A82C5C"/>
    <w:rsid w:val="07AD37A1"/>
    <w:rsid w:val="07B05960"/>
    <w:rsid w:val="07B21AAB"/>
    <w:rsid w:val="07B33E71"/>
    <w:rsid w:val="07B436A2"/>
    <w:rsid w:val="07B44183"/>
    <w:rsid w:val="07B62693"/>
    <w:rsid w:val="07BA40F5"/>
    <w:rsid w:val="07BC2556"/>
    <w:rsid w:val="07BD335B"/>
    <w:rsid w:val="07BD5AF0"/>
    <w:rsid w:val="07CA2229"/>
    <w:rsid w:val="07D03921"/>
    <w:rsid w:val="07D26499"/>
    <w:rsid w:val="07D6248D"/>
    <w:rsid w:val="07DC0503"/>
    <w:rsid w:val="07E07FF3"/>
    <w:rsid w:val="07E1353C"/>
    <w:rsid w:val="07E67834"/>
    <w:rsid w:val="07E775D3"/>
    <w:rsid w:val="07ED44BE"/>
    <w:rsid w:val="07ED73F8"/>
    <w:rsid w:val="07EF4106"/>
    <w:rsid w:val="07F94554"/>
    <w:rsid w:val="07FB4E2D"/>
    <w:rsid w:val="07FD6DF7"/>
    <w:rsid w:val="08002443"/>
    <w:rsid w:val="08006635"/>
    <w:rsid w:val="08023127"/>
    <w:rsid w:val="080261BB"/>
    <w:rsid w:val="08033CE1"/>
    <w:rsid w:val="08053EFD"/>
    <w:rsid w:val="0808579C"/>
    <w:rsid w:val="080D337A"/>
    <w:rsid w:val="0810501E"/>
    <w:rsid w:val="08183C31"/>
    <w:rsid w:val="081A2455"/>
    <w:rsid w:val="081E2010"/>
    <w:rsid w:val="081E6D6D"/>
    <w:rsid w:val="082C0578"/>
    <w:rsid w:val="08332819"/>
    <w:rsid w:val="083360EA"/>
    <w:rsid w:val="083B16CD"/>
    <w:rsid w:val="08400A92"/>
    <w:rsid w:val="08412974"/>
    <w:rsid w:val="084319A6"/>
    <w:rsid w:val="08435BA4"/>
    <w:rsid w:val="08462490"/>
    <w:rsid w:val="084A5734"/>
    <w:rsid w:val="084B612C"/>
    <w:rsid w:val="08510EF1"/>
    <w:rsid w:val="08536A17"/>
    <w:rsid w:val="08564759"/>
    <w:rsid w:val="085B58CB"/>
    <w:rsid w:val="085E53BC"/>
    <w:rsid w:val="08607EBF"/>
    <w:rsid w:val="08624EAC"/>
    <w:rsid w:val="08640C24"/>
    <w:rsid w:val="08664FAD"/>
    <w:rsid w:val="08670250"/>
    <w:rsid w:val="086724C2"/>
    <w:rsid w:val="086E55FF"/>
    <w:rsid w:val="087137EA"/>
    <w:rsid w:val="08732C15"/>
    <w:rsid w:val="087370B9"/>
    <w:rsid w:val="087921F6"/>
    <w:rsid w:val="087A0447"/>
    <w:rsid w:val="087D7E8A"/>
    <w:rsid w:val="08800C7C"/>
    <w:rsid w:val="088272FC"/>
    <w:rsid w:val="088379CB"/>
    <w:rsid w:val="0886277C"/>
    <w:rsid w:val="0889798A"/>
    <w:rsid w:val="088C3CD7"/>
    <w:rsid w:val="088F0C2B"/>
    <w:rsid w:val="08A3579C"/>
    <w:rsid w:val="08AB1493"/>
    <w:rsid w:val="08BD20E2"/>
    <w:rsid w:val="08C30535"/>
    <w:rsid w:val="08C40CF3"/>
    <w:rsid w:val="08C47BB7"/>
    <w:rsid w:val="08C6368D"/>
    <w:rsid w:val="08CA47FF"/>
    <w:rsid w:val="08CE6BDB"/>
    <w:rsid w:val="08D56238"/>
    <w:rsid w:val="08E04023"/>
    <w:rsid w:val="08EA6BF2"/>
    <w:rsid w:val="08EC0CDA"/>
    <w:rsid w:val="08EC14AA"/>
    <w:rsid w:val="08EE4992"/>
    <w:rsid w:val="08EF6E49"/>
    <w:rsid w:val="08F10A61"/>
    <w:rsid w:val="08F17FDE"/>
    <w:rsid w:val="08F471CE"/>
    <w:rsid w:val="08F57ACE"/>
    <w:rsid w:val="08FA3336"/>
    <w:rsid w:val="08FE5CB3"/>
    <w:rsid w:val="09027CC7"/>
    <w:rsid w:val="09047D11"/>
    <w:rsid w:val="09050131"/>
    <w:rsid w:val="090A52B9"/>
    <w:rsid w:val="090C2880"/>
    <w:rsid w:val="090D306A"/>
    <w:rsid w:val="09187C60"/>
    <w:rsid w:val="09197723"/>
    <w:rsid w:val="091C32AD"/>
    <w:rsid w:val="092217DD"/>
    <w:rsid w:val="0926010A"/>
    <w:rsid w:val="092959CA"/>
    <w:rsid w:val="092B429C"/>
    <w:rsid w:val="092B7994"/>
    <w:rsid w:val="093026AA"/>
    <w:rsid w:val="093305F6"/>
    <w:rsid w:val="09331DC6"/>
    <w:rsid w:val="09342499"/>
    <w:rsid w:val="093A7294"/>
    <w:rsid w:val="093C56FD"/>
    <w:rsid w:val="093D3223"/>
    <w:rsid w:val="09415795"/>
    <w:rsid w:val="094353E3"/>
    <w:rsid w:val="09491BC8"/>
    <w:rsid w:val="094B4A99"/>
    <w:rsid w:val="094F2505"/>
    <w:rsid w:val="095335C6"/>
    <w:rsid w:val="09575375"/>
    <w:rsid w:val="0958005D"/>
    <w:rsid w:val="095A2C65"/>
    <w:rsid w:val="09602B12"/>
    <w:rsid w:val="09685488"/>
    <w:rsid w:val="0969226A"/>
    <w:rsid w:val="096D5417"/>
    <w:rsid w:val="0970184A"/>
    <w:rsid w:val="09713E3C"/>
    <w:rsid w:val="09721268"/>
    <w:rsid w:val="09727371"/>
    <w:rsid w:val="097424BF"/>
    <w:rsid w:val="097846E4"/>
    <w:rsid w:val="097906FF"/>
    <w:rsid w:val="09795F38"/>
    <w:rsid w:val="097C01EF"/>
    <w:rsid w:val="09861298"/>
    <w:rsid w:val="09880215"/>
    <w:rsid w:val="098B7259"/>
    <w:rsid w:val="099077F7"/>
    <w:rsid w:val="0992356F"/>
    <w:rsid w:val="09934D3B"/>
    <w:rsid w:val="099A01B0"/>
    <w:rsid w:val="099A0675"/>
    <w:rsid w:val="099B4B67"/>
    <w:rsid w:val="099D150E"/>
    <w:rsid w:val="099F4A18"/>
    <w:rsid w:val="09A1609F"/>
    <w:rsid w:val="09A6526C"/>
    <w:rsid w:val="09AB4631"/>
    <w:rsid w:val="09AD2422"/>
    <w:rsid w:val="09B07E99"/>
    <w:rsid w:val="09B32225"/>
    <w:rsid w:val="09B75AF6"/>
    <w:rsid w:val="09BC4A90"/>
    <w:rsid w:val="09BC5743"/>
    <w:rsid w:val="09BC63DC"/>
    <w:rsid w:val="09BF1E8A"/>
    <w:rsid w:val="09C25E8E"/>
    <w:rsid w:val="09C94AB7"/>
    <w:rsid w:val="09CD45A7"/>
    <w:rsid w:val="09D2096C"/>
    <w:rsid w:val="09D21B73"/>
    <w:rsid w:val="09D21BBD"/>
    <w:rsid w:val="09D24977"/>
    <w:rsid w:val="09D75426"/>
    <w:rsid w:val="09D771D4"/>
    <w:rsid w:val="09D868F3"/>
    <w:rsid w:val="09DA2438"/>
    <w:rsid w:val="09DB4F16"/>
    <w:rsid w:val="09DC0C8E"/>
    <w:rsid w:val="09F25085"/>
    <w:rsid w:val="09F6158F"/>
    <w:rsid w:val="0A033204"/>
    <w:rsid w:val="0A0855DF"/>
    <w:rsid w:val="0A14667A"/>
    <w:rsid w:val="0A1E3055"/>
    <w:rsid w:val="0A210988"/>
    <w:rsid w:val="0A216696"/>
    <w:rsid w:val="0A2355FD"/>
    <w:rsid w:val="0A252635"/>
    <w:rsid w:val="0A263993"/>
    <w:rsid w:val="0A283ED3"/>
    <w:rsid w:val="0A296093"/>
    <w:rsid w:val="0A2A011D"/>
    <w:rsid w:val="0A2A7C4B"/>
    <w:rsid w:val="0A2D3AC2"/>
    <w:rsid w:val="0A314B36"/>
    <w:rsid w:val="0A36039E"/>
    <w:rsid w:val="0A3D172D"/>
    <w:rsid w:val="0A485659"/>
    <w:rsid w:val="0A4D07F9"/>
    <w:rsid w:val="0A4D7496"/>
    <w:rsid w:val="0A5371A2"/>
    <w:rsid w:val="0A56459C"/>
    <w:rsid w:val="0A5847B8"/>
    <w:rsid w:val="0A5D4372"/>
    <w:rsid w:val="0A621930"/>
    <w:rsid w:val="0A6767AA"/>
    <w:rsid w:val="0A685919"/>
    <w:rsid w:val="0A69260C"/>
    <w:rsid w:val="0A6A186A"/>
    <w:rsid w:val="0A6A4CD0"/>
    <w:rsid w:val="0A6B197A"/>
    <w:rsid w:val="0A6F3821"/>
    <w:rsid w:val="0A7626C6"/>
    <w:rsid w:val="0A766000"/>
    <w:rsid w:val="0A7D4828"/>
    <w:rsid w:val="0A7D5FCD"/>
    <w:rsid w:val="0A8460E7"/>
    <w:rsid w:val="0A8D0F0B"/>
    <w:rsid w:val="0A903833"/>
    <w:rsid w:val="0A903E25"/>
    <w:rsid w:val="0A913826"/>
    <w:rsid w:val="0A951B0C"/>
    <w:rsid w:val="0A953D29"/>
    <w:rsid w:val="0A960B7B"/>
    <w:rsid w:val="0AA03A6A"/>
    <w:rsid w:val="0AA07DF7"/>
    <w:rsid w:val="0AA364AD"/>
    <w:rsid w:val="0AA5250C"/>
    <w:rsid w:val="0AA6765B"/>
    <w:rsid w:val="0AA755DF"/>
    <w:rsid w:val="0AA8759A"/>
    <w:rsid w:val="0AAC68B2"/>
    <w:rsid w:val="0AB17A25"/>
    <w:rsid w:val="0AB17BDE"/>
    <w:rsid w:val="0AB319EF"/>
    <w:rsid w:val="0AB47515"/>
    <w:rsid w:val="0ABE79AB"/>
    <w:rsid w:val="0AC936F2"/>
    <w:rsid w:val="0ACC2AB1"/>
    <w:rsid w:val="0ACD1D54"/>
    <w:rsid w:val="0ACF24A1"/>
    <w:rsid w:val="0AD025A1"/>
    <w:rsid w:val="0AD57BB7"/>
    <w:rsid w:val="0AD6392F"/>
    <w:rsid w:val="0AD6563D"/>
    <w:rsid w:val="0ADD2F10"/>
    <w:rsid w:val="0AE47DFA"/>
    <w:rsid w:val="0AF063C2"/>
    <w:rsid w:val="0AF52007"/>
    <w:rsid w:val="0AF53A64"/>
    <w:rsid w:val="0AF55727"/>
    <w:rsid w:val="0AF618DB"/>
    <w:rsid w:val="0AFD0EBC"/>
    <w:rsid w:val="0AFF2E6A"/>
    <w:rsid w:val="0B00012F"/>
    <w:rsid w:val="0B016BFE"/>
    <w:rsid w:val="0B0264D2"/>
    <w:rsid w:val="0B065FC2"/>
    <w:rsid w:val="0B0B35D9"/>
    <w:rsid w:val="0B0E30C9"/>
    <w:rsid w:val="0B0F0C49"/>
    <w:rsid w:val="0B0F6C00"/>
    <w:rsid w:val="0B120D44"/>
    <w:rsid w:val="0B121011"/>
    <w:rsid w:val="0B1701D0"/>
    <w:rsid w:val="0B1C6152"/>
    <w:rsid w:val="0B1D50BA"/>
    <w:rsid w:val="0B291CB1"/>
    <w:rsid w:val="0B2A0072"/>
    <w:rsid w:val="0B2B3C7B"/>
    <w:rsid w:val="0B316DB7"/>
    <w:rsid w:val="0B34702A"/>
    <w:rsid w:val="0B354AFA"/>
    <w:rsid w:val="0B422D73"/>
    <w:rsid w:val="0B46326D"/>
    <w:rsid w:val="0B4765DB"/>
    <w:rsid w:val="0B4844AC"/>
    <w:rsid w:val="0B48482D"/>
    <w:rsid w:val="0B4935A0"/>
    <w:rsid w:val="0B4A6018"/>
    <w:rsid w:val="0B4E34C6"/>
    <w:rsid w:val="0B4F0028"/>
    <w:rsid w:val="0B532B69"/>
    <w:rsid w:val="0B5F3925"/>
    <w:rsid w:val="0B614CBE"/>
    <w:rsid w:val="0B6537C1"/>
    <w:rsid w:val="0B671759"/>
    <w:rsid w:val="0B6A342F"/>
    <w:rsid w:val="0B6B667E"/>
    <w:rsid w:val="0B6E6509"/>
    <w:rsid w:val="0B6F7585"/>
    <w:rsid w:val="0B72554B"/>
    <w:rsid w:val="0B770C6E"/>
    <w:rsid w:val="0B7A42BB"/>
    <w:rsid w:val="0B7B18B9"/>
    <w:rsid w:val="0B7C44D7"/>
    <w:rsid w:val="0B7F4F28"/>
    <w:rsid w:val="0B805631"/>
    <w:rsid w:val="0B860EB1"/>
    <w:rsid w:val="0B87348D"/>
    <w:rsid w:val="0B89236E"/>
    <w:rsid w:val="0B91202B"/>
    <w:rsid w:val="0B9510F4"/>
    <w:rsid w:val="0B967BB1"/>
    <w:rsid w:val="0B995089"/>
    <w:rsid w:val="0B9A4B88"/>
    <w:rsid w:val="0B9B02BD"/>
    <w:rsid w:val="0BA207B5"/>
    <w:rsid w:val="0BA42176"/>
    <w:rsid w:val="0BA45841"/>
    <w:rsid w:val="0BA63302"/>
    <w:rsid w:val="0BAA7BA0"/>
    <w:rsid w:val="0BAB3695"/>
    <w:rsid w:val="0BAE737B"/>
    <w:rsid w:val="0BAF384C"/>
    <w:rsid w:val="0BB15CFC"/>
    <w:rsid w:val="0BB865F1"/>
    <w:rsid w:val="0BB93035"/>
    <w:rsid w:val="0BC10E95"/>
    <w:rsid w:val="0BC369D0"/>
    <w:rsid w:val="0BD27BF6"/>
    <w:rsid w:val="0BD447D7"/>
    <w:rsid w:val="0BD8448D"/>
    <w:rsid w:val="0BDD571B"/>
    <w:rsid w:val="0BDF05C2"/>
    <w:rsid w:val="0BE107DE"/>
    <w:rsid w:val="0BE96538"/>
    <w:rsid w:val="0BEB7C0C"/>
    <w:rsid w:val="0BED548F"/>
    <w:rsid w:val="0BEE7CCC"/>
    <w:rsid w:val="0BEF4CA9"/>
    <w:rsid w:val="0BF57DE5"/>
    <w:rsid w:val="0BF71DAF"/>
    <w:rsid w:val="0BF92165"/>
    <w:rsid w:val="0C000C64"/>
    <w:rsid w:val="0C030754"/>
    <w:rsid w:val="0C0369A6"/>
    <w:rsid w:val="0C0D3381"/>
    <w:rsid w:val="0C0E0686"/>
    <w:rsid w:val="0C1741FF"/>
    <w:rsid w:val="0C2030B4"/>
    <w:rsid w:val="0C2B717E"/>
    <w:rsid w:val="0C3035E4"/>
    <w:rsid w:val="0C304C60"/>
    <w:rsid w:val="0C30706F"/>
    <w:rsid w:val="0C3B3C7D"/>
    <w:rsid w:val="0C3D2328"/>
    <w:rsid w:val="0C425134"/>
    <w:rsid w:val="0C426747"/>
    <w:rsid w:val="0C436DA2"/>
    <w:rsid w:val="0C504932"/>
    <w:rsid w:val="0C510A16"/>
    <w:rsid w:val="0C5823BF"/>
    <w:rsid w:val="0C5B5304"/>
    <w:rsid w:val="0C5D2B0F"/>
    <w:rsid w:val="0C5F6E3D"/>
    <w:rsid w:val="0C61164F"/>
    <w:rsid w:val="0C61547A"/>
    <w:rsid w:val="0C6249B6"/>
    <w:rsid w:val="0C694A31"/>
    <w:rsid w:val="0C6A07D3"/>
    <w:rsid w:val="0C6F301D"/>
    <w:rsid w:val="0C7C4062"/>
    <w:rsid w:val="0C801DA5"/>
    <w:rsid w:val="0C8973FD"/>
    <w:rsid w:val="0C8E3F29"/>
    <w:rsid w:val="0C8E4F3B"/>
    <w:rsid w:val="0C936D6D"/>
    <w:rsid w:val="0C9A2AAF"/>
    <w:rsid w:val="0C9A5E42"/>
    <w:rsid w:val="0CA23AC9"/>
    <w:rsid w:val="0CA535B9"/>
    <w:rsid w:val="0CA710DF"/>
    <w:rsid w:val="0CA741D8"/>
    <w:rsid w:val="0CAB2EAE"/>
    <w:rsid w:val="0CAD246E"/>
    <w:rsid w:val="0CAF61E6"/>
    <w:rsid w:val="0CB52FA9"/>
    <w:rsid w:val="0CB73F7E"/>
    <w:rsid w:val="0CB8094E"/>
    <w:rsid w:val="0CB86F53"/>
    <w:rsid w:val="0CB952B6"/>
    <w:rsid w:val="0CBD5BDD"/>
    <w:rsid w:val="0CC675F5"/>
    <w:rsid w:val="0CC876EA"/>
    <w:rsid w:val="0CCC323C"/>
    <w:rsid w:val="0CCC7512"/>
    <w:rsid w:val="0CCF49C3"/>
    <w:rsid w:val="0CCF6888"/>
    <w:rsid w:val="0CD36378"/>
    <w:rsid w:val="0CD62351"/>
    <w:rsid w:val="0CD93263"/>
    <w:rsid w:val="0CE030C1"/>
    <w:rsid w:val="0CE51CF1"/>
    <w:rsid w:val="0CE916F8"/>
    <w:rsid w:val="0CF462EF"/>
    <w:rsid w:val="0CF63E15"/>
    <w:rsid w:val="0CF85DDF"/>
    <w:rsid w:val="0CFB142B"/>
    <w:rsid w:val="0CFF0F1B"/>
    <w:rsid w:val="0D006340"/>
    <w:rsid w:val="0D0227BA"/>
    <w:rsid w:val="0D04528F"/>
    <w:rsid w:val="0D061181"/>
    <w:rsid w:val="0D077DD0"/>
    <w:rsid w:val="0D0A7FF6"/>
    <w:rsid w:val="0D120222"/>
    <w:rsid w:val="0D14574D"/>
    <w:rsid w:val="0D186496"/>
    <w:rsid w:val="0D2210AE"/>
    <w:rsid w:val="0D295F98"/>
    <w:rsid w:val="0D2A1D10"/>
    <w:rsid w:val="0D2C7836"/>
    <w:rsid w:val="0D3112F1"/>
    <w:rsid w:val="0D375241"/>
    <w:rsid w:val="0D3B2558"/>
    <w:rsid w:val="0D444B80"/>
    <w:rsid w:val="0D49663A"/>
    <w:rsid w:val="0D546334"/>
    <w:rsid w:val="0D621C7D"/>
    <w:rsid w:val="0D6231A9"/>
    <w:rsid w:val="0D6C3F80"/>
    <w:rsid w:val="0D732BFC"/>
    <w:rsid w:val="0D74051A"/>
    <w:rsid w:val="0D766D04"/>
    <w:rsid w:val="0D794F74"/>
    <w:rsid w:val="0D7A4A46"/>
    <w:rsid w:val="0D834A9F"/>
    <w:rsid w:val="0D83648F"/>
    <w:rsid w:val="0D894C89"/>
    <w:rsid w:val="0D8C0C10"/>
    <w:rsid w:val="0D8C4254"/>
    <w:rsid w:val="0D8F7523"/>
    <w:rsid w:val="0D957CAF"/>
    <w:rsid w:val="0D984ECC"/>
    <w:rsid w:val="0D993B65"/>
    <w:rsid w:val="0DA453AB"/>
    <w:rsid w:val="0DA675E9"/>
    <w:rsid w:val="0DAB2E51"/>
    <w:rsid w:val="0DAE02A6"/>
    <w:rsid w:val="0DBF4B4E"/>
    <w:rsid w:val="0DC3019B"/>
    <w:rsid w:val="0DC422F7"/>
    <w:rsid w:val="0DCB3427"/>
    <w:rsid w:val="0DCD1E3F"/>
    <w:rsid w:val="0DCE6B40"/>
    <w:rsid w:val="0DD12DB9"/>
    <w:rsid w:val="0DDE1FBA"/>
    <w:rsid w:val="0DE46149"/>
    <w:rsid w:val="0DE819AF"/>
    <w:rsid w:val="0DE96F59"/>
    <w:rsid w:val="0DED738D"/>
    <w:rsid w:val="0DEE2D3E"/>
    <w:rsid w:val="0DEF2B92"/>
    <w:rsid w:val="0DF02297"/>
    <w:rsid w:val="0DF02F5A"/>
    <w:rsid w:val="0DF06AB6"/>
    <w:rsid w:val="0DF5231E"/>
    <w:rsid w:val="0DF76096"/>
    <w:rsid w:val="0DF76597"/>
    <w:rsid w:val="0DFA16E3"/>
    <w:rsid w:val="0DFA5B87"/>
    <w:rsid w:val="0DFA7935"/>
    <w:rsid w:val="0DFC36AD"/>
    <w:rsid w:val="0DFD595F"/>
    <w:rsid w:val="0DFF700B"/>
    <w:rsid w:val="0E06452B"/>
    <w:rsid w:val="0E0B1A54"/>
    <w:rsid w:val="0E0D2253"/>
    <w:rsid w:val="0E0E7AFC"/>
    <w:rsid w:val="0E10623C"/>
    <w:rsid w:val="0E1624B8"/>
    <w:rsid w:val="0E173408"/>
    <w:rsid w:val="0E187684"/>
    <w:rsid w:val="0E1A356C"/>
    <w:rsid w:val="0E1C78AB"/>
    <w:rsid w:val="0E1F1149"/>
    <w:rsid w:val="0E2441A3"/>
    <w:rsid w:val="0E245572"/>
    <w:rsid w:val="0E26697C"/>
    <w:rsid w:val="0E2B2047"/>
    <w:rsid w:val="0E2C5365"/>
    <w:rsid w:val="0E35096D"/>
    <w:rsid w:val="0E365701"/>
    <w:rsid w:val="0E400E48"/>
    <w:rsid w:val="0E460DCC"/>
    <w:rsid w:val="0E46540A"/>
    <w:rsid w:val="0E491E28"/>
    <w:rsid w:val="0E4F3E96"/>
    <w:rsid w:val="0E572FD9"/>
    <w:rsid w:val="0E59465B"/>
    <w:rsid w:val="0E5E52EF"/>
    <w:rsid w:val="0E624109"/>
    <w:rsid w:val="0E640531"/>
    <w:rsid w:val="0E653000"/>
    <w:rsid w:val="0E73034D"/>
    <w:rsid w:val="0E7431AF"/>
    <w:rsid w:val="0E7506AB"/>
    <w:rsid w:val="0E7B2823"/>
    <w:rsid w:val="0E7D2A40"/>
    <w:rsid w:val="0E810980"/>
    <w:rsid w:val="0E810B5D"/>
    <w:rsid w:val="0E8536A2"/>
    <w:rsid w:val="0E92601B"/>
    <w:rsid w:val="0EA63619"/>
    <w:rsid w:val="0EA643F9"/>
    <w:rsid w:val="0EA855E3"/>
    <w:rsid w:val="0EAF24CD"/>
    <w:rsid w:val="0EAF28C7"/>
    <w:rsid w:val="0EB2447F"/>
    <w:rsid w:val="0EC4609D"/>
    <w:rsid w:val="0EC756C5"/>
    <w:rsid w:val="0EC7706B"/>
    <w:rsid w:val="0EC95F88"/>
    <w:rsid w:val="0ECC44EB"/>
    <w:rsid w:val="0ED63EFE"/>
    <w:rsid w:val="0EDD31DA"/>
    <w:rsid w:val="0EDE1042"/>
    <w:rsid w:val="0EDE2DB2"/>
    <w:rsid w:val="0EE26EA5"/>
    <w:rsid w:val="0EE621B0"/>
    <w:rsid w:val="0EE7435D"/>
    <w:rsid w:val="0EF35889"/>
    <w:rsid w:val="0EF35A43"/>
    <w:rsid w:val="0EF56D77"/>
    <w:rsid w:val="0F01025F"/>
    <w:rsid w:val="0F072309"/>
    <w:rsid w:val="0F0A3BA7"/>
    <w:rsid w:val="0F0C791F"/>
    <w:rsid w:val="0F0E7B3C"/>
    <w:rsid w:val="0F13775A"/>
    <w:rsid w:val="0F16079E"/>
    <w:rsid w:val="0F182768"/>
    <w:rsid w:val="0F1D1B2D"/>
    <w:rsid w:val="0F1D7D7F"/>
    <w:rsid w:val="0F242EBB"/>
    <w:rsid w:val="0F2729AB"/>
    <w:rsid w:val="0F276507"/>
    <w:rsid w:val="0F2D1BF8"/>
    <w:rsid w:val="0F3841E6"/>
    <w:rsid w:val="0F3A0931"/>
    <w:rsid w:val="0F3D5D2B"/>
    <w:rsid w:val="0F4245CD"/>
    <w:rsid w:val="0F450727"/>
    <w:rsid w:val="0F481F47"/>
    <w:rsid w:val="0F504E8E"/>
    <w:rsid w:val="0F5117D6"/>
    <w:rsid w:val="0F5337A0"/>
    <w:rsid w:val="0F5C1D18"/>
    <w:rsid w:val="0F5C20A6"/>
    <w:rsid w:val="0F5F45FE"/>
    <w:rsid w:val="0F621C35"/>
    <w:rsid w:val="0F64775C"/>
    <w:rsid w:val="0F6634D4"/>
    <w:rsid w:val="0F671296"/>
    <w:rsid w:val="0F6B6D3C"/>
    <w:rsid w:val="0F6E4136"/>
    <w:rsid w:val="0F7200CA"/>
    <w:rsid w:val="0F751969"/>
    <w:rsid w:val="0F7B0BD0"/>
    <w:rsid w:val="0F833E39"/>
    <w:rsid w:val="0F866DA8"/>
    <w:rsid w:val="0F8D6A8D"/>
    <w:rsid w:val="0F8E32F5"/>
    <w:rsid w:val="0F9022FF"/>
    <w:rsid w:val="0F9A112B"/>
    <w:rsid w:val="0F9D4A1B"/>
    <w:rsid w:val="0FA77648"/>
    <w:rsid w:val="0FB00BF3"/>
    <w:rsid w:val="0FB37183"/>
    <w:rsid w:val="0FB81855"/>
    <w:rsid w:val="0FB963EB"/>
    <w:rsid w:val="0FBF2BE4"/>
    <w:rsid w:val="0FC401FA"/>
    <w:rsid w:val="0FCC0B08"/>
    <w:rsid w:val="0FCC70AF"/>
    <w:rsid w:val="0FCE2E27"/>
    <w:rsid w:val="0FCF5887"/>
    <w:rsid w:val="0FD0094D"/>
    <w:rsid w:val="0FD13216"/>
    <w:rsid w:val="0FD30CAC"/>
    <w:rsid w:val="0FD707DD"/>
    <w:rsid w:val="0FDC3796"/>
    <w:rsid w:val="0FE10DAC"/>
    <w:rsid w:val="0FE30723"/>
    <w:rsid w:val="0FE50EF5"/>
    <w:rsid w:val="0FE97C61"/>
    <w:rsid w:val="0FEE38F1"/>
    <w:rsid w:val="0FF02D9D"/>
    <w:rsid w:val="0FF22FB9"/>
    <w:rsid w:val="0FF2340E"/>
    <w:rsid w:val="0FFA00C0"/>
    <w:rsid w:val="10022AD1"/>
    <w:rsid w:val="1008458B"/>
    <w:rsid w:val="100C0B0E"/>
    <w:rsid w:val="100C6893"/>
    <w:rsid w:val="100E764E"/>
    <w:rsid w:val="100F5919"/>
    <w:rsid w:val="10186227"/>
    <w:rsid w:val="101D4336"/>
    <w:rsid w:val="1023560F"/>
    <w:rsid w:val="1027182F"/>
    <w:rsid w:val="10293FCA"/>
    <w:rsid w:val="102E1B18"/>
    <w:rsid w:val="102E6D74"/>
    <w:rsid w:val="102F54DD"/>
    <w:rsid w:val="10317576"/>
    <w:rsid w:val="1034712E"/>
    <w:rsid w:val="10350A29"/>
    <w:rsid w:val="10352EA6"/>
    <w:rsid w:val="10376389"/>
    <w:rsid w:val="103B6BD1"/>
    <w:rsid w:val="104355C3"/>
    <w:rsid w:val="1045133B"/>
    <w:rsid w:val="10523A58"/>
    <w:rsid w:val="1054157E"/>
    <w:rsid w:val="105570A4"/>
    <w:rsid w:val="105A46BB"/>
    <w:rsid w:val="105A51F7"/>
    <w:rsid w:val="105C0433"/>
    <w:rsid w:val="105C1A17"/>
    <w:rsid w:val="105D40D7"/>
    <w:rsid w:val="106043C7"/>
    <w:rsid w:val="1062553E"/>
    <w:rsid w:val="1066305F"/>
    <w:rsid w:val="10666541"/>
    <w:rsid w:val="106D2F64"/>
    <w:rsid w:val="107240FA"/>
    <w:rsid w:val="10765998"/>
    <w:rsid w:val="10774671"/>
    <w:rsid w:val="107A5BC4"/>
    <w:rsid w:val="107C2883"/>
    <w:rsid w:val="107F4121"/>
    <w:rsid w:val="10806817"/>
    <w:rsid w:val="108219EF"/>
    <w:rsid w:val="10833C11"/>
    <w:rsid w:val="108C51BC"/>
    <w:rsid w:val="10932E5E"/>
    <w:rsid w:val="10933485"/>
    <w:rsid w:val="10953945"/>
    <w:rsid w:val="10987144"/>
    <w:rsid w:val="109E2443"/>
    <w:rsid w:val="10A0480E"/>
    <w:rsid w:val="10A560DD"/>
    <w:rsid w:val="10A87B1C"/>
    <w:rsid w:val="10AD0CED"/>
    <w:rsid w:val="10AD2BD9"/>
    <w:rsid w:val="10B63710"/>
    <w:rsid w:val="10B65D95"/>
    <w:rsid w:val="10BF64A4"/>
    <w:rsid w:val="10C70C7B"/>
    <w:rsid w:val="10C761F4"/>
    <w:rsid w:val="10C83D1A"/>
    <w:rsid w:val="10CC3774"/>
    <w:rsid w:val="10CE597B"/>
    <w:rsid w:val="10CF5391"/>
    <w:rsid w:val="10CF6E57"/>
    <w:rsid w:val="10CF7421"/>
    <w:rsid w:val="10D77F71"/>
    <w:rsid w:val="10DD17EF"/>
    <w:rsid w:val="10E01064"/>
    <w:rsid w:val="10E16B8A"/>
    <w:rsid w:val="10E8044C"/>
    <w:rsid w:val="10E943BC"/>
    <w:rsid w:val="10EE19D3"/>
    <w:rsid w:val="10EF72B2"/>
    <w:rsid w:val="10F10820"/>
    <w:rsid w:val="10F20D97"/>
    <w:rsid w:val="10F42D61"/>
    <w:rsid w:val="10F93ED3"/>
    <w:rsid w:val="10F97C73"/>
    <w:rsid w:val="11082369"/>
    <w:rsid w:val="110C00AB"/>
    <w:rsid w:val="110C31EE"/>
    <w:rsid w:val="111451B1"/>
    <w:rsid w:val="111C2F7A"/>
    <w:rsid w:val="111D6CB2"/>
    <w:rsid w:val="111E393A"/>
    <w:rsid w:val="111E6F64"/>
    <w:rsid w:val="112004C4"/>
    <w:rsid w:val="11292A0B"/>
    <w:rsid w:val="112F17F4"/>
    <w:rsid w:val="11335637"/>
    <w:rsid w:val="1136191D"/>
    <w:rsid w:val="11401B02"/>
    <w:rsid w:val="11423ACC"/>
    <w:rsid w:val="115152BA"/>
    <w:rsid w:val="11534B75"/>
    <w:rsid w:val="115630D4"/>
    <w:rsid w:val="11596019"/>
    <w:rsid w:val="115F467E"/>
    <w:rsid w:val="11665CA1"/>
    <w:rsid w:val="1166747D"/>
    <w:rsid w:val="11684439"/>
    <w:rsid w:val="117619C8"/>
    <w:rsid w:val="1178129C"/>
    <w:rsid w:val="117A061D"/>
    <w:rsid w:val="117A2B2D"/>
    <w:rsid w:val="11804F57"/>
    <w:rsid w:val="11900D85"/>
    <w:rsid w:val="11962115"/>
    <w:rsid w:val="11987B90"/>
    <w:rsid w:val="119F1921"/>
    <w:rsid w:val="11A368AF"/>
    <w:rsid w:val="11A46870"/>
    <w:rsid w:val="11AE2F4A"/>
    <w:rsid w:val="11B04EDA"/>
    <w:rsid w:val="11B12A00"/>
    <w:rsid w:val="11B21F6A"/>
    <w:rsid w:val="11B442E0"/>
    <w:rsid w:val="11B76268"/>
    <w:rsid w:val="11B926DE"/>
    <w:rsid w:val="11C646FD"/>
    <w:rsid w:val="11C714CB"/>
    <w:rsid w:val="11C739EF"/>
    <w:rsid w:val="11CE35B2"/>
    <w:rsid w:val="11D856AE"/>
    <w:rsid w:val="11DE494E"/>
    <w:rsid w:val="11DF30C9"/>
    <w:rsid w:val="11E030B9"/>
    <w:rsid w:val="11E121FD"/>
    <w:rsid w:val="11E3705D"/>
    <w:rsid w:val="11E72362"/>
    <w:rsid w:val="11E84674"/>
    <w:rsid w:val="11EB0D9A"/>
    <w:rsid w:val="11F042B6"/>
    <w:rsid w:val="11F13987"/>
    <w:rsid w:val="11F823DD"/>
    <w:rsid w:val="11FA43A7"/>
    <w:rsid w:val="11FF5391"/>
    <w:rsid w:val="1200050F"/>
    <w:rsid w:val="120966D4"/>
    <w:rsid w:val="120B4CF5"/>
    <w:rsid w:val="120E1BAD"/>
    <w:rsid w:val="120E2352"/>
    <w:rsid w:val="120E2FFE"/>
    <w:rsid w:val="12137217"/>
    <w:rsid w:val="121F445B"/>
    <w:rsid w:val="1232769D"/>
    <w:rsid w:val="123509CF"/>
    <w:rsid w:val="12371157"/>
    <w:rsid w:val="124A1CE8"/>
    <w:rsid w:val="125374AC"/>
    <w:rsid w:val="1259182D"/>
    <w:rsid w:val="12597320"/>
    <w:rsid w:val="125A6BF4"/>
    <w:rsid w:val="126161D4"/>
    <w:rsid w:val="12661A3D"/>
    <w:rsid w:val="126D154C"/>
    <w:rsid w:val="127557DC"/>
    <w:rsid w:val="127A2198"/>
    <w:rsid w:val="127F0192"/>
    <w:rsid w:val="128011A7"/>
    <w:rsid w:val="1282094C"/>
    <w:rsid w:val="12874C39"/>
    <w:rsid w:val="128D6FC9"/>
    <w:rsid w:val="12902616"/>
    <w:rsid w:val="12941F0A"/>
    <w:rsid w:val="1298364A"/>
    <w:rsid w:val="12A04F4F"/>
    <w:rsid w:val="12A6008B"/>
    <w:rsid w:val="12A74C1C"/>
    <w:rsid w:val="12AA3E26"/>
    <w:rsid w:val="12B273A8"/>
    <w:rsid w:val="12B45C48"/>
    <w:rsid w:val="12B81B5F"/>
    <w:rsid w:val="12C1069C"/>
    <w:rsid w:val="12C16087"/>
    <w:rsid w:val="12C30C3D"/>
    <w:rsid w:val="12C549B5"/>
    <w:rsid w:val="12C94B15"/>
    <w:rsid w:val="12C97A7B"/>
    <w:rsid w:val="12CA27AE"/>
    <w:rsid w:val="12CD1ABC"/>
    <w:rsid w:val="12D247EC"/>
    <w:rsid w:val="12D3702E"/>
    <w:rsid w:val="12D5475D"/>
    <w:rsid w:val="12D93FBD"/>
    <w:rsid w:val="12E0534B"/>
    <w:rsid w:val="12E13D2C"/>
    <w:rsid w:val="12E56E05"/>
    <w:rsid w:val="12EC7FA8"/>
    <w:rsid w:val="12ED5CBA"/>
    <w:rsid w:val="12EF1A32"/>
    <w:rsid w:val="12F31522"/>
    <w:rsid w:val="12F95ECD"/>
    <w:rsid w:val="12FE7EC7"/>
    <w:rsid w:val="12FF0A78"/>
    <w:rsid w:val="130354DD"/>
    <w:rsid w:val="13036617"/>
    <w:rsid w:val="130C0751"/>
    <w:rsid w:val="130C4392"/>
    <w:rsid w:val="130D1EB8"/>
    <w:rsid w:val="130F29D5"/>
    <w:rsid w:val="13151B01"/>
    <w:rsid w:val="13166FBF"/>
    <w:rsid w:val="13185A75"/>
    <w:rsid w:val="131B4645"/>
    <w:rsid w:val="131E5E73"/>
    <w:rsid w:val="1321706F"/>
    <w:rsid w:val="1326314D"/>
    <w:rsid w:val="13294F44"/>
    <w:rsid w:val="132D60B6"/>
    <w:rsid w:val="13315B2D"/>
    <w:rsid w:val="1332191F"/>
    <w:rsid w:val="13386F35"/>
    <w:rsid w:val="133E2072"/>
    <w:rsid w:val="133E565C"/>
    <w:rsid w:val="133F6D99"/>
    <w:rsid w:val="134B5484"/>
    <w:rsid w:val="134E53C0"/>
    <w:rsid w:val="13514F27"/>
    <w:rsid w:val="13557DAC"/>
    <w:rsid w:val="135B70C7"/>
    <w:rsid w:val="135C5FC1"/>
    <w:rsid w:val="13606F15"/>
    <w:rsid w:val="13651CF4"/>
    <w:rsid w:val="13680190"/>
    <w:rsid w:val="13750189"/>
    <w:rsid w:val="13763F01"/>
    <w:rsid w:val="13792CC7"/>
    <w:rsid w:val="137A57A0"/>
    <w:rsid w:val="137D5E13"/>
    <w:rsid w:val="137E6302"/>
    <w:rsid w:val="138100D6"/>
    <w:rsid w:val="13824654"/>
    <w:rsid w:val="138403CC"/>
    <w:rsid w:val="13946135"/>
    <w:rsid w:val="13951726"/>
    <w:rsid w:val="139718D2"/>
    <w:rsid w:val="139C03FB"/>
    <w:rsid w:val="139D4FEA"/>
    <w:rsid w:val="13A4705A"/>
    <w:rsid w:val="13A67F5D"/>
    <w:rsid w:val="13A9398F"/>
    <w:rsid w:val="13AA5035"/>
    <w:rsid w:val="13AD4EB7"/>
    <w:rsid w:val="13B642FE"/>
    <w:rsid w:val="13BA5B9C"/>
    <w:rsid w:val="13BB1914"/>
    <w:rsid w:val="13BB269E"/>
    <w:rsid w:val="13C17520"/>
    <w:rsid w:val="13C23451"/>
    <w:rsid w:val="13C5585C"/>
    <w:rsid w:val="13C7475D"/>
    <w:rsid w:val="13D313F8"/>
    <w:rsid w:val="13D95D2B"/>
    <w:rsid w:val="13DC0939"/>
    <w:rsid w:val="13DE761D"/>
    <w:rsid w:val="13E174F5"/>
    <w:rsid w:val="13E42155"/>
    <w:rsid w:val="13E62E35"/>
    <w:rsid w:val="13E93BC1"/>
    <w:rsid w:val="13EB23D8"/>
    <w:rsid w:val="13EF6899"/>
    <w:rsid w:val="13F24D97"/>
    <w:rsid w:val="13F60B9E"/>
    <w:rsid w:val="13F62633"/>
    <w:rsid w:val="13F651E6"/>
    <w:rsid w:val="13F941DA"/>
    <w:rsid w:val="13FD747F"/>
    <w:rsid w:val="14011A1D"/>
    <w:rsid w:val="14015E4F"/>
    <w:rsid w:val="140427E5"/>
    <w:rsid w:val="14096B23"/>
    <w:rsid w:val="140A3287"/>
    <w:rsid w:val="140E5EE8"/>
    <w:rsid w:val="1418536F"/>
    <w:rsid w:val="14185F29"/>
    <w:rsid w:val="141A488D"/>
    <w:rsid w:val="141C03D1"/>
    <w:rsid w:val="14246F26"/>
    <w:rsid w:val="142E658A"/>
    <w:rsid w:val="14333BA0"/>
    <w:rsid w:val="14340029"/>
    <w:rsid w:val="14357918"/>
    <w:rsid w:val="1436145C"/>
    <w:rsid w:val="14396509"/>
    <w:rsid w:val="14445DAD"/>
    <w:rsid w:val="14455DDB"/>
    <w:rsid w:val="144B2C98"/>
    <w:rsid w:val="144B713C"/>
    <w:rsid w:val="144C108E"/>
    <w:rsid w:val="14522278"/>
    <w:rsid w:val="14524026"/>
    <w:rsid w:val="145D29CB"/>
    <w:rsid w:val="14634486"/>
    <w:rsid w:val="14644B2E"/>
    <w:rsid w:val="14661880"/>
    <w:rsid w:val="1468384A"/>
    <w:rsid w:val="146F2E2A"/>
    <w:rsid w:val="146F6754"/>
    <w:rsid w:val="147815B3"/>
    <w:rsid w:val="147A1DD6"/>
    <w:rsid w:val="147F0B94"/>
    <w:rsid w:val="147F2942"/>
    <w:rsid w:val="148042AC"/>
    <w:rsid w:val="14861F22"/>
    <w:rsid w:val="148766A5"/>
    <w:rsid w:val="148776F7"/>
    <w:rsid w:val="14880D3D"/>
    <w:rsid w:val="14900FF3"/>
    <w:rsid w:val="14977C8B"/>
    <w:rsid w:val="14985FA3"/>
    <w:rsid w:val="149C34F4"/>
    <w:rsid w:val="149F64E6"/>
    <w:rsid w:val="149F7D5E"/>
    <w:rsid w:val="14A64372"/>
    <w:rsid w:val="14AB3799"/>
    <w:rsid w:val="14B47E8D"/>
    <w:rsid w:val="14B727C1"/>
    <w:rsid w:val="14B95E54"/>
    <w:rsid w:val="14BA613B"/>
    <w:rsid w:val="14C111AC"/>
    <w:rsid w:val="14C34F24"/>
    <w:rsid w:val="14C64A14"/>
    <w:rsid w:val="14C667C2"/>
    <w:rsid w:val="14C81083"/>
    <w:rsid w:val="14CF1E8C"/>
    <w:rsid w:val="14D2706D"/>
    <w:rsid w:val="14D319F0"/>
    <w:rsid w:val="14D46D63"/>
    <w:rsid w:val="14D902A4"/>
    <w:rsid w:val="14DC5FE6"/>
    <w:rsid w:val="14DC7D94"/>
    <w:rsid w:val="14DD1916"/>
    <w:rsid w:val="14DD2C3C"/>
    <w:rsid w:val="14DD7FB6"/>
    <w:rsid w:val="14DE2046"/>
    <w:rsid w:val="14DE76C9"/>
    <w:rsid w:val="14E135FC"/>
    <w:rsid w:val="14E74213"/>
    <w:rsid w:val="14E76E65"/>
    <w:rsid w:val="14EC0CC3"/>
    <w:rsid w:val="14EC447B"/>
    <w:rsid w:val="14EF060D"/>
    <w:rsid w:val="14F21366"/>
    <w:rsid w:val="14F367C8"/>
    <w:rsid w:val="14F43330"/>
    <w:rsid w:val="14F779BC"/>
    <w:rsid w:val="14FB77B8"/>
    <w:rsid w:val="14FD3C8B"/>
    <w:rsid w:val="14FF7381"/>
    <w:rsid w:val="15053175"/>
    <w:rsid w:val="150834D9"/>
    <w:rsid w:val="150D2643"/>
    <w:rsid w:val="150F24C4"/>
    <w:rsid w:val="15107A3E"/>
    <w:rsid w:val="151439D2"/>
    <w:rsid w:val="151614F8"/>
    <w:rsid w:val="151632A6"/>
    <w:rsid w:val="15182DB6"/>
    <w:rsid w:val="15211C4B"/>
    <w:rsid w:val="1522092E"/>
    <w:rsid w:val="152543B4"/>
    <w:rsid w:val="15273705"/>
    <w:rsid w:val="152C7A61"/>
    <w:rsid w:val="153A7B51"/>
    <w:rsid w:val="154222ED"/>
    <w:rsid w:val="15426C00"/>
    <w:rsid w:val="15451DDD"/>
    <w:rsid w:val="15453B8B"/>
    <w:rsid w:val="15464213"/>
    <w:rsid w:val="154943F1"/>
    <w:rsid w:val="154D47EE"/>
    <w:rsid w:val="154D7E92"/>
    <w:rsid w:val="15514B15"/>
    <w:rsid w:val="15545922"/>
    <w:rsid w:val="15563BA4"/>
    <w:rsid w:val="1559250D"/>
    <w:rsid w:val="1562100C"/>
    <w:rsid w:val="15630748"/>
    <w:rsid w:val="15634011"/>
    <w:rsid w:val="15712BD2"/>
    <w:rsid w:val="157549BC"/>
    <w:rsid w:val="15764AF5"/>
    <w:rsid w:val="15795010"/>
    <w:rsid w:val="157B75AD"/>
    <w:rsid w:val="157D3BB8"/>
    <w:rsid w:val="157D50D3"/>
    <w:rsid w:val="15842387"/>
    <w:rsid w:val="15873839"/>
    <w:rsid w:val="158C27EA"/>
    <w:rsid w:val="15923843"/>
    <w:rsid w:val="1598015F"/>
    <w:rsid w:val="1598318B"/>
    <w:rsid w:val="159843F5"/>
    <w:rsid w:val="159B020B"/>
    <w:rsid w:val="159D2EFF"/>
    <w:rsid w:val="159E5049"/>
    <w:rsid w:val="15A05265"/>
    <w:rsid w:val="15A07014"/>
    <w:rsid w:val="15A563D8"/>
    <w:rsid w:val="15A8752D"/>
    <w:rsid w:val="15A9411A"/>
    <w:rsid w:val="15AA7E92"/>
    <w:rsid w:val="15AF54A9"/>
    <w:rsid w:val="15B036FB"/>
    <w:rsid w:val="15B115F8"/>
    <w:rsid w:val="15B31006"/>
    <w:rsid w:val="15B66837"/>
    <w:rsid w:val="15BB209F"/>
    <w:rsid w:val="15C76DEF"/>
    <w:rsid w:val="15C84232"/>
    <w:rsid w:val="15C9496C"/>
    <w:rsid w:val="15C97D2E"/>
    <w:rsid w:val="15CA5E3E"/>
    <w:rsid w:val="15CE3B81"/>
    <w:rsid w:val="15D038D4"/>
    <w:rsid w:val="15D36603"/>
    <w:rsid w:val="15D66ED9"/>
    <w:rsid w:val="15DA111B"/>
    <w:rsid w:val="15E24ED4"/>
    <w:rsid w:val="15E6711C"/>
    <w:rsid w:val="15EE2A23"/>
    <w:rsid w:val="15EE5FD1"/>
    <w:rsid w:val="15F5735F"/>
    <w:rsid w:val="15F80BFE"/>
    <w:rsid w:val="15F87019"/>
    <w:rsid w:val="15F92F1D"/>
    <w:rsid w:val="15FF3D3A"/>
    <w:rsid w:val="16007AB2"/>
    <w:rsid w:val="16062333"/>
    <w:rsid w:val="16075CAF"/>
    <w:rsid w:val="16087E1D"/>
    <w:rsid w:val="16092E0B"/>
    <w:rsid w:val="16113F1B"/>
    <w:rsid w:val="16116963"/>
    <w:rsid w:val="16133C89"/>
    <w:rsid w:val="1615753F"/>
    <w:rsid w:val="161B1061"/>
    <w:rsid w:val="161D2412"/>
    <w:rsid w:val="16227A29"/>
    <w:rsid w:val="162709B2"/>
    <w:rsid w:val="16274CFF"/>
    <w:rsid w:val="162D01C2"/>
    <w:rsid w:val="16314110"/>
    <w:rsid w:val="16316D77"/>
    <w:rsid w:val="16331C36"/>
    <w:rsid w:val="1635012F"/>
    <w:rsid w:val="163634D4"/>
    <w:rsid w:val="16366CBD"/>
    <w:rsid w:val="1638724C"/>
    <w:rsid w:val="163A1216"/>
    <w:rsid w:val="163E1F06"/>
    <w:rsid w:val="163F25FA"/>
    <w:rsid w:val="163F523D"/>
    <w:rsid w:val="1647748F"/>
    <w:rsid w:val="164B3423"/>
    <w:rsid w:val="164F230C"/>
    <w:rsid w:val="1651673C"/>
    <w:rsid w:val="165409F2"/>
    <w:rsid w:val="165B19C7"/>
    <w:rsid w:val="165B3457"/>
    <w:rsid w:val="166007C5"/>
    <w:rsid w:val="166242C9"/>
    <w:rsid w:val="166630C7"/>
    <w:rsid w:val="166B3FE4"/>
    <w:rsid w:val="166E2C6E"/>
    <w:rsid w:val="16706630"/>
    <w:rsid w:val="16797F90"/>
    <w:rsid w:val="167F6434"/>
    <w:rsid w:val="16810BF3"/>
    <w:rsid w:val="16970417"/>
    <w:rsid w:val="169731A9"/>
    <w:rsid w:val="16A843D2"/>
    <w:rsid w:val="16AB2E5D"/>
    <w:rsid w:val="16AE46DF"/>
    <w:rsid w:val="16AF7B10"/>
    <w:rsid w:val="16B802C7"/>
    <w:rsid w:val="16BC725A"/>
    <w:rsid w:val="16BF16AA"/>
    <w:rsid w:val="16D46123"/>
    <w:rsid w:val="16D46BB9"/>
    <w:rsid w:val="16D51F60"/>
    <w:rsid w:val="16D72F09"/>
    <w:rsid w:val="16D93DE3"/>
    <w:rsid w:val="16DB7EF2"/>
    <w:rsid w:val="16DC0BB0"/>
    <w:rsid w:val="16E15B36"/>
    <w:rsid w:val="16EB06DD"/>
    <w:rsid w:val="16ED53B0"/>
    <w:rsid w:val="16F07B27"/>
    <w:rsid w:val="16F13FCB"/>
    <w:rsid w:val="16F77107"/>
    <w:rsid w:val="16FF4E6A"/>
    <w:rsid w:val="16FF52A1"/>
    <w:rsid w:val="16FF7D6A"/>
    <w:rsid w:val="17002E1C"/>
    <w:rsid w:val="17017F86"/>
    <w:rsid w:val="17033CFE"/>
    <w:rsid w:val="170810F3"/>
    <w:rsid w:val="170A1E87"/>
    <w:rsid w:val="170A23FE"/>
    <w:rsid w:val="171001C9"/>
    <w:rsid w:val="171150F1"/>
    <w:rsid w:val="171647F0"/>
    <w:rsid w:val="17165223"/>
    <w:rsid w:val="171A022E"/>
    <w:rsid w:val="171A4598"/>
    <w:rsid w:val="171C4DC0"/>
    <w:rsid w:val="171E1BBB"/>
    <w:rsid w:val="17296FE6"/>
    <w:rsid w:val="172B0B5F"/>
    <w:rsid w:val="172B6DB1"/>
    <w:rsid w:val="172E4885"/>
    <w:rsid w:val="17312619"/>
    <w:rsid w:val="1732013F"/>
    <w:rsid w:val="17342109"/>
    <w:rsid w:val="17343CE3"/>
    <w:rsid w:val="1735378C"/>
    <w:rsid w:val="17355C74"/>
    <w:rsid w:val="1736115D"/>
    <w:rsid w:val="17361246"/>
    <w:rsid w:val="17370AC5"/>
    <w:rsid w:val="17390B80"/>
    <w:rsid w:val="174165D4"/>
    <w:rsid w:val="17487963"/>
    <w:rsid w:val="17521771"/>
    <w:rsid w:val="17522814"/>
    <w:rsid w:val="17552B5D"/>
    <w:rsid w:val="175B2B4D"/>
    <w:rsid w:val="175F1824"/>
    <w:rsid w:val="17613C47"/>
    <w:rsid w:val="1761586F"/>
    <w:rsid w:val="1768590F"/>
    <w:rsid w:val="176B65C0"/>
    <w:rsid w:val="176D63F0"/>
    <w:rsid w:val="17701D14"/>
    <w:rsid w:val="177250EE"/>
    <w:rsid w:val="17735226"/>
    <w:rsid w:val="1783596C"/>
    <w:rsid w:val="17885FB1"/>
    <w:rsid w:val="178B40C0"/>
    <w:rsid w:val="179078A2"/>
    <w:rsid w:val="17926943"/>
    <w:rsid w:val="179957FA"/>
    <w:rsid w:val="179B7A92"/>
    <w:rsid w:val="17A64281"/>
    <w:rsid w:val="17A81DFF"/>
    <w:rsid w:val="17AC7EF2"/>
    <w:rsid w:val="17AE2E2B"/>
    <w:rsid w:val="17B1375A"/>
    <w:rsid w:val="17B246DF"/>
    <w:rsid w:val="17B307D9"/>
    <w:rsid w:val="17B7754A"/>
    <w:rsid w:val="17B91ACA"/>
    <w:rsid w:val="17B9260F"/>
    <w:rsid w:val="17B943BD"/>
    <w:rsid w:val="17BB1570"/>
    <w:rsid w:val="17BB70BF"/>
    <w:rsid w:val="17BB714B"/>
    <w:rsid w:val="17C0574B"/>
    <w:rsid w:val="17C23271"/>
    <w:rsid w:val="17CA6350"/>
    <w:rsid w:val="17CB22C5"/>
    <w:rsid w:val="17CD2FFD"/>
    <w:rsid w:val="17D11706"/>
    <w:rsid w:val="17D238E4"/>
    <w:rsid w:val="17D543F5"/>
    <w:rsid w:val="17DC425D"/>
    <w:rsid w:val="17DD62FD"/>
    <w:rsid w:val="17E01616"/>
    <w:rsid w:val="17E05DED"/>
    <w:rsid w:val="17E207CA"/>
    <w:rsid w:val="17F10392"/>
    <w:rsid w:val="17F4035B"/>
    <w:rsid w:val="17F8354B"/>
    <w:rsid w:val="17FA45EC"/>
    <w:rsid w:val="18020ADC"/>
    <w:rsid w:val="18023FB5"/>
    <w:rsid w:val="180753B9"/>
    <w:rsid w:val="18095344"/>
    <w:rsid w:val="180D2479"/>
    <w:rsid w:val="18131D1F"/>
    <w:rsid w:val="18153CE9"/>
    <w:rsid w:val="181D0DEF"/>
    <w:rsid w:val="18200B27"/>
    <w:rsid w:val="18243F2C"/>
    <w:rsid w:val="182B350C"/>
    <w:rsid w:val="183028D1"/>
    <w:rsid w:val="18332EB2"/>
    <w:rsid w:val="18342CA1"/>
    <w:rsid w:val="18363A76"/>
    <w:rsid w:val="18365A0D"/>
    <w:rsid w:val="18387277"/>
    <w:rsid w:val="183C74C7"/>
    <w:rsid w:val="18441ED8"/>
    <w:rsid w:val="184427F7"/>
    <w:rsid w:val="184E4863"/>
    <w:rsid w:val="18506ACF"/>
    <w:rsid w:val="18574301"/>
    <w:rsid w:val="18586D04"/>
    <w:rsid w:val="185F234B"/>
    <w:rsid w:val="18617483"/>
    <w:rsid w:val="18622CA6"/>
    <w:rsid w:val="186407CC"/>
    <w:rsid w:val="18645220"/>
    <w:rsid w:val="18673E19"/>
    <w:rsid w:val="186860EA"/>
    <w:rsid w:val="186C142F"/>
    <w:rsid w:val="18717CCB"/>
    <w:rsid w:val="187414E5"/>
    <w:rsid w:val="187A7FF0"/>
    <w:rsid w:val="187B5183"/>
    <w:rsid w:val="187E0854"/>
    <w:rsid w:val="187E63FA"/>
    <w:rsid w:val="18833D5E"/>
    <w:rsid w:val="18833F33"/>
    <w:rsid w:val="18844A29"/>
    <w:rsid w:val="18846756"/>
    <w:rsid w:val="188623E9"/>
    <w:rsid w:val="189251AA"/>
    <w:rsid w:val="18933380"/>
    <w:rsid w:val="189746FE"/>
    <w:rsid w:val="189A3FE3"/>
    <w:rsid w:val="189F624C"/>
    <w:rsid w:val="189F642C"/>
    <w:rsid w:val="18A137CE"/>
    <w:rsid w:val="18A1732B"/>
    <w:rsid w:val="18A46E1B"/>
    <w:rsid w:val="18A706B9"/>
    <w:rsid w:val="18A94431"/>
    <w:rsid w:val="18AB01A9"/>
    <w:rsid w:val="18AB551E"/>
    <w:rsid w:val="18B352B0"/>
    <w:rsid w:val="18B71529"/>
    <w:rsid w:val="18BC052B"/>
    <w:rsid w:val="18BC4F58"/>
    <w:rsid w:val="18C401EA"/>
    <w:rsid w:val="18C63235"/>
    <w:rsid w:val="18CA6609"/>
    <w:rsid w:val="18CC27A8"/>
    <w:rsid w:val="18CD0120"/>
    <w:rsid w:val="18CE5C46"/>
    <w:rsid w:val="18D07C10"/>
    <w:rsid w:val="18D447DE"/>
    <w:rsid w:val="18D86AC4"/>
    <w:rsid w:val="18DA45EA"/>
    <w:rsid w:val="18E13F1F"/>
    <w:rsid w:val="18E35613"/>
    <w:rsid w:val="18EB67F8"/>
    <w:rsid w:val="18EE0096"/>
    <w:rsid w:val="18F338FE"/>
    <w:rsid w:val="18F363CF"/>
    <w:rsid w:val="18F57676"/>
    <w:rsid w:val="190148C8"/>
    <w:rsid w:val="190624D6"/>
    <w:rsid w:val="19067AD5"/>
    <w:rsid w:val="190F5864"/>
    <w:rsid w:val="190F6E75"/>
    <w:rsid w:val="191374F7"/>
    <w:rsid w:val="19153FC1"/>
    <w:rsid w:val="19157D18"/>
    <w:rsid w:val="191650D6"/>
    <w:rsid w:val="1917583F"/>
    <w:rsid w:val="19196792"/>
    <w:rsid w:val="19212219"/>
    <w:rsid w:val="19215E44"/>
    <w:rsid w:val="19244BA8"/>
    <w:rsid w:val="19256BEF"/>
    <w:rsid w:val="19285F50"/>
    <w:rsid w:val="19305329"/>
    <w:rsid w:val="19331C2E"/>
    <w:rsid w:val="19353F17"/>
    <w:rsid w:val="193E2491"/>
    <w:rsid w:val="19524AC9"/>
    <w:rsid w:val="19533785"/>
    <w:rsid w:val="1957143D"/>
    <w:rsid w:val="195B397D"/>
    <w:rsid w:val="19616ABA"/>
    <w:rsid w:val="19674F7D"/>
    <w:rsid w:val="196A5B2A"/>
    <w:rsid w:val="196B16E7"/>
    <w:rsid w:val="196C2DA1"/>
    <w:rsid w:val="19722A75"/>
    <w:rsid w:val="19767F1C"/>
    <w:rsid w:val="197A54A1"/>
    <w:rsid w:val="198D78AF"/>
    <w:rsid w:val="198D7BEB"/>
    <w:rsid w:val="19937275"/>
    <w:rsid w:val="19960E79"/>
    <w:rsid w:val="1999287F"/>
    <w:rsid w:val="199C51C6"/>
    <w:rsid w:val="199C5D44"/>
    <w:rsid w:val="199E7D0E"/>
    <w:rsid w:val="19A213F5"/>
    <w:rsid w:val="19A64A85"/>
    <w:rsid w:val="19B451D6"/>
    <w:rsid w:val="19B82F28"/>
    <w:rsid w:val="19B8429B"/>
    <w:rsid w:val="19BB441C"/>
    <w:rsid w:val="19BC1F42"/>
    <w:rsid w:val="19C239FC"/>
    <w:rsid w:val="19C31523"/>
    <w:rsid w:val="19C86B39"/>
    <w:rsid w:val="19CC25E3"/>
    <w:rsid w:val="19D13C3F"/>
    <w:rsid w:val="19D63004"/>
    <w:rsid w:val="19E35721"/>
    <w:rsid w:val="19E76126"/>
    <w:rsid w:val="19E971DB"/>
    <w:rsid w:val="19EA2056"/>
    <w:rsid w:val="19EA4D01"/>
    <w:rsid w:val="19F42220"/>
    <w:rsid w:val="19F45B80"/>
    <w:rsid w:val="19F56E2E"/>
    <w:rsid w:val="19FE255B"/>
    <w:rsid w:val="1A045DC3"/>
    <w:rsid w:val="1A0D3FB0"/>
    <w:rsid w:val="1A12583D"/>
    <w:rsid w:val="1A1B135F"/>
    <w:rsid w:val="1A1C66C0"/>
    <w:rsid w:val="1A1D50D7"/>
    <w:rsid w:val="1A210AEA"/>
    <w:rsid w:val="1A25551D"/>
    <w:rsid w:val="1A2B427B"/>
    <w:rsid w:val="1A2E2E40"/>
    <w:rsid w:val="1A3769AE"/>
    <w:rsid w:val="1A3D3083"/>
    <w:rsid w:val="1A3E609F"/>
    <w:rsid w:val="1A3F0902"/>
    <w:rsid w:val="1A42393B"/>
    <w:rsid w:val="1A442663"/>
    <w:rsid w:val="1A492C66"/>
    <w:rsid w:val="1A497C7A"/>
    <w:rsid w:val="1A4A57A0"/>
    <w:rsid w:val="1A543D99"/>
    <w:rsid w:val="1A607B05"/>
    <w:rsid w:val="1A613215"/>
    <w:rsid w:val="1A692698"/>
    <w:rsid w:val="1A693B4E"/>
    <w:rsid w:val="1A707455"/>
    <w:rsid w:val="1A715C85"/>
    <w:rsid w:val="1A756CC1"/>
    <w:rsid w:val="1A7F5CF7"/>
    <w:rsid w:val="1A862DCB"/>
    <w:rsid w:val="1A8962C8"/>
    <w:rsid w:val="1A8A58D8"/>
    <w:rsid w:val="1A8B3CCA"/>
    <w:rsid w:val="1A8B625E"/>
    <w:rsid w:val="1A8B64E4"/>
    <w:rsid w:val="1A8E1B30"/>
    <w:rsid w:val="1A90014F"/>
    <w:rsid w:val="1A9058A9"/>
    <w:rsid w:val="1A907657"/>
    <w:rsid w:val="1A9554A2"/>
    <w:rsid w:val="1A9C3A3F"/>
    <w:rsid w:val="1AA05338"/>
    <w:rsid w:val="1AA3728F"/>
    <w:rsid w:val="1AA41354"/>
    <w:rsid w:val="1AA46DD2"/>
    <w:rsid w:val="1AA7263A"/>
    <w:rsid w:val="1AAD45DE"/>
    <w:rsid w:val="1AB15038"/>
    <w:rsid w:val="1AB33DCC"/>
    <w:rsid w:val="1ABA0B77"/>
    <w:rsid w:val="1ABA46D4"/>
    <w:rsid w:val="1ABE75E2"/>
    <w:rsid w:val="1AC27A2C"/>
    <w:rsid w:val="1AC47300"/>
    <w:rsid w:val="1AC65B4C"/>
    <w:rsid w:val="1ACD2E78"/>
    <w:rsid w:val="1AD0039B"/>
    <w:rsid w:val="1ADB7AD1"/>
    <w:rsid w:val="1ADC0C9C"/>
    <w:rsid w:val="1AE254F2"/>
    <w:rsid w:val="1AE31E7C"/>
    <w:rsid w:val="1AE856E5"/>
    <w:rsid w:val="1AEB470C"/>
    <w:rsid w:val="1AF0236E"/>
    <w:rsid w:val="1AF35E57"/>
    <w:rsid w:val="1AF44089"/>
    <w:rsid w:val="1AF47A8A"/>
    <w:rsid w:val="1AF71484"/>
    <w:rsid w:val="1AF87311"/>
    <w:rsid w:val="1AFA0F74"/>
    <w:rsid w:val="1AFA5418"/>
    <w:rsid w:val="1AFC32FB"/>
    <w:rsid w:val="1B046F80"/>
    <w:rsid w:val="1B053E11"/>
    <w:rsid w:val="1B09565B"/>
    <w:rsid w:val="1B0A2F96"/>
    <w:rsid w:val="1B0E4A1F"/>
    <w:rsid w:val="1B0F5899"/>
    <w:rsid w:val="1B104EA7"/>
    <w:rsid w:val="1B111498"/>
    <w:rsid w:val="1B155DAE"/>
    <w:rsid w:val="1B1B6295"/>
    <w:rsid w:val="1B1D4798"/>
    <w:rsid w:val="1B281F85"/>
    <w:rsid w:val="1B283D33"/>
    <w:rsid w:val="1B2D631C"/>
    <w:rsid w:val="1B2E266F"/>
    <w:rsid w:val="1B3267B5"/>
    <w:rsid w:val="1B373F76"/>
    <w:rsid w:val="1B3B46BA"/>
    <w:rsid w:val="1B40161D"/>
    <w:rsid w:val="1B416BA3"/>
    <w:rsid w:val="1B440441"/>
    <w:rsid w:val="1B441859"/>
    <w:rsid w:val="1B4548E5"/>
    <w:rsid w:val="1B4A3087"/>
    <w:rsid w:val="1B5065C7"/>
    <w:rsid w:val="1B5468D6"/>
    <w:rsid w:val="1B563EB5"/>
    <w:rsid w:val="1B5F527B"/>
    <w:rsid w:val="1B6056C8"/>
    <w:rsid w:val="1B617245"/>
    <w:rsid w:val="1B6258CD"/>
    <w:rsid w:val="1B634D6B"/>
    <w:rsid w:val="1B63505F"/>
    <w:rsid w:val="1B6606B1"/>
    <w:rsid w:val="1B6F1962"/>
    <w:rsid w:val="1B6F3710"/>
    <w:rsid w:val="1B6F7443"/>
    <w:rsid w:val="1B7363F8"/>
    <w:rsid w:val="1B753723"/>
    <w:rsid w:val="1B753FE5"/>
    <w:rsid w:val="1B754A9E"/>
    <w:rsid w:val="1B793B45"/>
    <w:rsid w:val="1B79458F"/>
    <w:rsid w:val="1B821929"/>
    <w:rsid w:val="1B837EA8"/>
    <w:rsid w:val="1B854CE1"/>
    <w:rsid w:val="1B873534"/>
    <w:rsid w:val="1B882A24"/>
    <w:rsid w:val="1B886580"/>
    <w:rsid w:val="1B8A054A"/>
    <w:rsid w:val="1B8E4384"/>
    <w:rsid w:val="1B991AD9"/>
    <w:rsid w:val="1BA001ED"/>
    <w:rsid w:val="1BA33124"/>
    <w:rsid w:val="1BB11F7A"/>
    <w:rsid w:val="1BB41B6C"/>
    <w:rsid w:val="1BB455C7"/>
    <w:rsid w:val="1BBD091F"/>
    <w:rsid w:val="1BCA303C"/>
    <w:rsid w:val="1BCC0B62"/>
    <w:rsid w:val="1BD36403"/>
    <w:rsid w:val="1BD45251"/>
    <w:rsid w:val="1BD47A17"/>
    <w:rsid w:val="1BD6553D"/>
    <w:rsid w:val="1BE340FE"/>
    <w:rsid w:val="1BE55780"/>
    <w:rsid w:val="1BEA2D97"/>
    <w:rsid w:val="1BED578B"/>
    <w:rsid w:val="1BF17A03"/>
    <w:rsid w:val="1BF27E9D"/>
    <w:rsid w:val="1BF81957"/>
    <w:rsid w:val="1BFA2AE8"/>
    <w:rsid w:val="1BFC0816"/>
    <w:rsid w:val="1BFD0D1C"/>
    <w:rsid w:val="1C091D61"/>
    <w:rsid w:val="1C0C391F"/>
    <w:rsid w:val="1C1222ED"/>
    <w:rsid w:val="1C1726AA"/>
    <w:rsid w:val="1C197F1C"/>
    <w:rsid w:val="1C1A54D5"/>
    <w:rsid w:val="1C1B73F4"/>
    <w:rsid w:val="1C264D31"/>
    <w:rsid w:val="1C273FEB"/>
    <w:rsid w:val="1C2D2683"/>
    <w:rsid w:val="1C2F3294"/>
    <w:rsid w:val="1C316C17"/>
    <w:rsid w:val="1C376D48"/>
    <w:rsid w:val="1C381D54"/>
    <w:rsid w:val="1C3E1334"/>
    <w:rsid w:val="1C427076"/>
    <w:rsid w:val="1C43373A"/>
    <w:rsid w:val="1C4351CE"/>
    <w:rsid w:val="1C4940D7"/>
    <w:rsid w:val="1C4A6561"/>
    <w:rsid w:val="1C4B505A"/>
    <w:rsid w:val="1C4E5A1B"/>
    <w:rsid w:val="1C550139"/>
    <w:rsid w:val="1C565F45"/>
    <w:rsid w:val="1C56667E"/>
    <w:rsid w:val="1C5B5204"/>
    <w:rsid w:val="1C5C3F23"/>
    <w:rsid w:val="1C5E7925"/>
    <w:rsid w:val="1C637F0C"/>
    <w:rsid w:val="1C641587"/>
    <w:rsid w:val="1C6568C1"/>
    <w:rsid w:val="1C694603"/>
    <w:rsid w:val="1C6C5EA1"/>
    <w:rsid w:val="1C6F14EE"/>
    <w:rsid w:val="1C6F32B1"/>
    <w:rsid w:val="1C735482"/>
    <w:rsid w:val="1C7A78F2"/>
    <w:rsid w:val="1C7B3A29"/>
    <w:rsid w:val="1C7B4415"/>
    <w:rsid w:val="1C7B60E4"/>
    <w:rsid w:val="1C80194D"/>
    <w:rsid w:val="1C8402CA"/>
    <w:rsid w:val="1C876837"/>
    <w:rsid w:val="1C87735D"/>
    <w:rsid w:val="1C8D5047"/>
    <w:rsid w:val="1C9154CA"/>
    <w:rsid w:val="1C927ACE"/>
    <w:rsid w:val="1C9834EF"/>
    <w:rsid w:val="1C987C0E"/>
    <w:rsid w:val="1C9A47BD"/>
    <w:rsid w:val="1CA4563B"/>
    <w:rsid w:val="1CA67605"/>
    <w:rsid w:val="1CA93A82"/>
    <w:rsid w:val="1CB12E09"/>
    <w:rsid w:val="1CB21F83"/>
    <w:rsid w:val="1CC311E2"/>
    <w:rsid w:val="1CC525A0"/>
    <w:rsid w:val="1CC61A56"/>
    <w:rsid w:val="1CC6225C"/>
    <w:rsid w:val="1CC96E50"/>
    <w:rsid w:val="1CCC4B92"/>
    <w:rsid w:val="1CCD766D"/>
    <w:rsid w:val="1CD221A8"/>
    <w:rsid w:val="1CD232E8"/>
    <w:rsid w:val="1CD2740B"/>
    <w:rsid w:val="1CD31A5F"/>
    <w:rsid w:val="1CD31A7D"/>
    <w:rsid w:val="1CD811E3"/>
    <w:rsid w:val="1CDF48C5"/>
    <w:rsid w:val="1CE43809"/>
    <w:rsid w:val="1CE641A5"/>
    <w:rsid w:val="1CE97B44"/>
    <w:rsid w:val="1CEC2B3E"/>
    <w:rsid w:val="1CED7831"/>
    <w:rsid w:val="1CEE060E"/>
    <w:rsid w:val="1CF00285"/>
    <w:rsid w:val="1CF245F9"/>
    <w:rsid w:val="1CF278D7"/>
    <w:rsid w:val="1CF30371"/>
    <w:rsid w:val="1CF34A38"/>
    <w:rsid w:val="1CF44D90"/>
    <w:rsid w:val="1CF7109F"/>
    <w:rsid w:val="1CFD070F"/>
    <w:rsid w:val="1CFF0AC4"/>
    <w:rsid w:val="1CFF37A3"/>
    <w:rsid w:val="1D01483C"/>
    <w:rsid w:val="1D077978"/>
    <w:rsid w:val="1D105396"/>
    <w:rsid w:val="1D1053D7"/>
    <w:rsid w:val="1D1579E9"/>
    <w:rsid w:val="1D187DD7"/>
    <w:rsid w:val="1D195C54"/>
    <w:rsid w:val="1D1A680A"/>
    <w:rsid w:val="1D1B7508"/>
    <w:rsid w:val="1D1F2F14"/>
    <w:rsid w:val="1D266050"/>
    <w:rsid w:val="1D2E13A9"/>
    <w:rsid w:val="1D2F0DE0"/>
    <w:rsid w:val="1D2F189B"/>
    <w:rsid w:val="1D2F6C58"/>
    <w:rsid w:val="1D306EC6"/>
    <w:rsid w:val="1D3240BA"/>
    <w:rsid w:val="1D3456E0"/>
    <w:rsid w:val="1D3509B0"/>
    <w:rsid w:val="1D382CE5"/>
    <w:rsid w:val="1D3C5874"/>
    <w:rsid w:val="1D3E15EC"/>
    <w:rsid w:val="1D4A4A1F"/>
    <w:rsid w:val="1D5675F2"/>
    <w:rsid w:val="1D5801D4"/>
    <w:rsid w:val="1D5E5763"/>
    <w:rsid w:val="1D5F6196"/>
    <w:rsid w:val="1D6132A5"/>
    <w:rsid w:val="1D6D3C7F"/>
    <w:rsid w:val="1D704884"/>
    <w:rsid w:val="1D755DCC"/>
    <w:rsid w:val="1D7C048D"/>
    <w:rsid w:val="1D7D247B"/>
    <w:rsid w:val="1D7F39B2"/>
    <w:rsid w:val="1D7F56EA"/>
    <w:rsid w:val="1D8225E1"/>
    <w:rsid w:val="1D8B3FB6"/>
    <w:rsid w:val="1D8C44DA"/>
    <w:rsid w:val="1D8D324C"/>
    <w:rsid w:val="1D8E56D5"/>
    <w:rsid w:val="1D91100A"/>
    <w:rsid w:val="1D9408B5"/>
    <w:rsid w:val="1D94745E"/>
    <w:rsid w:val="1D975C06"/>
    <w:rsid w:val="1D9935C1"/>
    <w:rsid w:val="1D9B5A36"/>
    <w:rsid w:val="1D9B6A3E"/>
    <w:rsid w:val="1D9C60C5"/>
    <w:rsid w:val="1D9D344A"/>
    <w:rsid w:val="1D9D7DBC"/>
    <w:rsid w:val="1DA22BE3"/>
    <w:rsid w:val="1DA60CB7"/>
    <w:rsid w:val="1DAA4ED3"/>
    <w:rsid w:val="1DAB29F9"/>
    <w:rsid w:val="1DB047D1"/>
    <w:rsid w:val="1DB25B36"/>
    <w:rsid w:val="1DB7139E"/>
    <w:rsid w:val="1DB96EC4"/>
    <w:rsid w:val="1DBC69B5"/>
    <w:rsid w:val="1DBE3B64"/>
    <w:rsid w:val="1DC53ABB"/>
    <w:rsid w:val="1DC67CA9"/>
    <w:rsid w:val="1DD40A9C"/>
    <w:rsid w:val="1DD45AAC"/>
    <w:rsid w:val="1DD52502"/>
    <w:rsid w:val="1DD7559C"/>
    <w:rsid w:val="1DD931B6"/>
    <w:rsid w:val="1DDA6E3B"/>
    <w:rsid w:val="1DE2466D"/>
    <w:rsid w:val="1DF223D6"/>
    <w:rsid w:val="1DF3687A"/>
    <w:rsid w:val="1DF73DE1"/>
    <w:rsid w:val="1DF75C3F"/>
    <w:rsid w:val="1DF93765"/>
    <w:rsid w:val="1DFC5003"/>
    <w:rsid w:val="1DFD1136"/>
    <w:rsid w:val="1DFD352C"/>
    <w:rsid w:val="1E0068A1"/>
    <w:rsid w:val="1E067D44"/>
    <w:rsid w:val="1E0F2B51"/>
    <w:rsid w:val="1E1369DC"/>
    <w:rsid w:val="1E193E07"/>
    <w:rsid w:val="1E220F0E"/>
    <w:rsid w:val="1E222CBC"/>
    <w:rsid w:val="1E25463C"/>
    <w:rsid w:val="1E256308"/>
    <w:rsid w:val="1E28404A"/>
    <w:rsid w:val="1E311A11"/>
    <w:rsid w:val="1E324BDA"/>
    <w:rsid w:val="1E390005"/>
    <w:rsid w:val="1E3A7DDB"/>
    <w:rsid w:val="1E42335E"/>
    <w:rsid w:val="1E450758"/>
    <w:rsid w:val="1E464B2B"/>
    <w:rsid w:val="1E4946EC"/>
    <w:rsid w:val="1E4A3FC0"/>
    <w:rsid w:val="1E523B12"/>
    <w:rsid w:val="1E54734D"/>
    <w:rsid w:val="1E560BB7"/>
    <w:rsid w:val="1E58492F"/>
    <w:rsid w:val="1E5A31BE"/>
    <w:rsid w:val="1E5B441F"/>
    <w:rsid w:val="1E5C4B01"/>
    <w:rsid w:val="1E5D3CF4"/>
    <w:rsid w:val="1E5E58C1"/>
    <w:rsid w:val="1E621177"/>
    <w:rsid w:val="1E670CAA"/>
    <w:rsid w:val="1E6908EA"/>
    <w:rsid w:val="1E6B7BEB"/>
    <w:rsid w:val="1E6C3F37"/>
    <w:rsid w:val="1E6F6EC6"/>
    <w:rsid w:val="1E7012C8"/>
    <w:rsid w:val="1E76478F"/>
    <w:rsid w:val="1E7A43DA"/>
    <w:rsid w:val="1E7B23CC"/>
    <w:rsid w:val="1E7C6007"/>
    <w:rsid w:val="1E7D6144"/>
    <w:rsid w:val="1E831280"/>
    <w:rsid w:val="1E8362B5"/>
    <w:rsid w:val="1E844C23"/>
    <w:rsid w:val="1E8A0861"/>
    <w:rsid w:val="1E935967"/>
    <w:rsid w:val="1E937E91"/>
    <w:rsid w:val="1E94348E"/>
    <w:rsid w:val="1E953985"/>
    <w:rsid w:val="1E957666"/>
    <w:rsid w:val="1E997AE4"/>
    <w:rsid w:val="1E9D14F7"/>
    <w:rsid w:val="1EA31A71"/>
    <w:rsid w:val="1EA57449"/>
    <w:rsid w:val="1EA638ED"/>
    <w:rsid w:val="1EA731C1"/>
    <w:rsid w:val="1EA774FC"/>
    <w:rsid w:val="1EAB7BA4"/>
    <w:rsid w:val="1EB0462B"/>
    <w:rsid w:val="1EB25197"/>
    <w:rsid w:val="1EB355B6"/>
    <w:rsid w:val="1EB81CE5"/>
    <w:rsid w:val="1EBA2EF4"/>
    <w:rsid w:val="1EBD29E4"/>
    <w:rsid w:val="1EC04283"/>
    <w:rsid w:val="1EC56148"/>
    <w:rsid w:val="1EC71AB5"/>
    <w:rsid w:val="1EC91389"/>
    <w:rsid w:val="1ECB294E"/>
    <w:rsid w:val="1ECB5B86"/>
    <w:rsid w:val="1ECE2E43"/>
    <w:rsid w:val="1ECE3EE7"/>
    <w:rsid w:val="1ED63AA6"/>
    <w:rsid w:val="1EE23B25"/>
    <w:rsid w:val="1EEC32CA"/>
    <w:rsid w:val="1EED151B"/>
    <w:rsid w:val="1EED4253"/>
    <w:rsid w:val="1EEE7042"/>
    <w:rsid w:val="1EEF2B17"/>
    <w:rsid w:val="1EF328AA"/>
    <w:rsid w:val="1EF503D0"/>
    <w:rsid w:val="1EF65EF6"/>
    <w:rsid w:val="1EF67CA4"/>
    <w:rsid w:val="1EF8653E"/>
    <w:rsid w:val="1EFB17B1"/>
    <w:rsid w:val="1EFD121E"/>
    <w:rsid w:val="1EFE2FBC"/>
    <w:rsid w:val="1EFF4DAB"/>
    <w:rsid w:val="1F0625DD"/>
    <w:rsid w:val="1F084E56"/>
    <w:rsid w:val="1F0979D8"/>
    <w:rsid w:val="1F0C7321"/>
    <w:rsid w:val="1F185E6D"/>
    <w:rsid w:val="1F1D1759"/>
    <w:rsid w:val="1F2D5993"/>
    <w:rsid w:val="1F2E3280"/>
    <w:rsid w:val="1F2E457E"/>
    <w:rsid w:val="1F301408"/>
    <w:rsid w:val="1F327D77"/>
    <w:rsid w:val="1F330EF8"/>
    <w:rsid w:val="1F3507CD"/>
    <w:rsid w:val="1F3543D1"/>
    <w:rsid w:val="1F356A1F"/>
    <w:rsid w:val="1F38650F"/>
    <w:rsid w:val="1F3A5DE3"/>
    <w:rsid w:val="1F3D6340"/>
    <w:rsid w:val="1F407F7C"/>
    <w:rsid w:val="1F413615"/>
    <w:rsid w:val="1F43738D"/>
    <w:rsid w:val="1F4C1F5F"/>
    <w:rsid w:val="1F4E188E"/>
    <w:rsid w:val="1F4F6E76"/>
    <w:rsid w:val="1F5270A7"/>
    <w:rsid w:val="1F590FA1"/>
    <w:rsid w:val="1F5C3FAB"/>
    <w:rsid w:val="1F605399"/>
    <w:rsid w:val="1F6A6A5B"/>
    <w:rsid w:val="1F6C41A4"/>
    <w:rsid w:val="1F6D7F66"/>
    <w:rsid w:val="1F737BE2"/>
    <w:rsid w:val="1F796BDC"/>
    <w:rsid w:val="1F7A1D6F"/>
    <w:rsid w:val="1F7A450F"/>
    <w:rsid w:val="1F7F413E"/>
    <w:rsid w:val="1F88332E"/>
    <w:rsid w:val="1F8C0ACF"/>
    <w:rsid w:val="1F932B4F"/>
    <w:rsid w:val="1F9810EC"/>
    <w:rsid w:val="1F9D6372"/>
    <w:rsid w:val="1F9E45C4"/>
    <w:rsid w:val="1F9F04FA"/>
    <w:rsid w:val="1FA3607E"/>
    <w:rsid w:val="1FAB0A8F"/>
    <w:rsid w:val="1FAB2395"/>
    <w:rsid w:val="1FAD4CD8"/>
    <w:rsid w:val="1FB2006F"/>
    <w:rsid w:val="1FB45B95"/>
    <w:rsid w:val="1FB75686"/>
    <w:rsid w:val="1FB80A4B"/>
    <w:rsid w:val="1FBC47EF"/>
    <w:rsid w:val="1FC222C5"/>
    <w:rsid w:val="1FC8750C"/>
    <w:rsid w:val="1FCA067F"/>
    <w:rsid w:val="1FCA360B"/>
    <w:rsid w:val="1FCD4EA9"/>
    <w:rsid w:val="1FCE3737"/>
    <w:rsid w:val="1FCF09E1"/>
    <w:rsid w:val="1FD004F5"/>
    <w:rsid w:val="1FD224BF"/>
    <w:rsid w:val="1FD47FE6"/>
    <w:rsid w:val="1FD77AD6"/>
    <w:rsid w:val="1FD9384E"/>
    <w:rsid w:val="1FDC333E"/>
    <w:rsid w:val="1FDF225E"/>
    <w:rsid w:val="1FE50445"/>
    <w:rsid w:val="1FE7539E"/>
    <w:rsid w:val="1FE8583F"/>
    <w:rsid w:val="1FEE2F97"/>
    <w:rsid w:val="1FF42436"/>
    <w:rsid w:val="1FF64400"/>
    <w:rsid w:val="200A7EAB"/>
    <w:rsid w:val="200C1D97"/>
    <w:rsid w:val="201900EE"/>
    <w:rsid w:val="201D512F"/>
    <w:rsid w:val="20264B81"/>
    <w:rsid w:val="20280EE3"/>
    <w:rsid w:val="202B1BD0"/>
    <w:rsid w:val="202C23AF"/>
    <w:rsid w:val="20337402"/>
    <w:rsid w:val="2038426A"/>
    <w:rsid w:val="20384A18"/>
    <w:rsid w:val="2039253E"/>
    <w:rsid w:val="203A33AC"/>
    <w:rsid w:val="2040567B"/>
    <w:rsid w:val="204210F4"/>
    <w:rsid w:val="20442505"/>
    <w:rsid w:val="20457135"/>
    <w:rsid w:val="204B5E8C"/>
    <w:rsid w:val="20504AFA"/>
    <w:rsid w:val="20523600"/>
    <w:rsid w:val="20535F35"/>
    <w:rsid w:val="20541126"/>
    <w:rsid w:val="20554747"/>
    <w:rsid w:val="205A3400"/>
    <w:rsid w:val="205B4263"/>
    <w:rsid w:val="205E44A5"/>
    <w:rsid w:val="20605D1D"/>
    <w:rsid w:val="20625416"/>
    <w:rsid w:val="206375BB"/>
    <w:rsid w:val="20671BE0"/>
    <w:rsid w:val="20686980"/>
    <w:rsid w:val="206B05E2"/>
    <w:rsid w:val="206D21E8"/>
    <w:rsid w:val="207A639B"/>
    <w:rsid w:val="207B0342"/>
    <w:rsid w:val="207D242B"/>
    <w:rsid w:val="20866F14"/>
    <w:rsid w:val="208A2D9A"/>
    <w:rsid w:val="2091237A"/>
    <w:rsid w:val="209153FD"/>
    <w:rsid w:val="20933A75"/>
    <w:rsid w:val="20943FF9"/>
    <w:rsid w:val="20963CB8"/>
    <w:rsid w:val="20971013"/>
    <w:rsid w:val="20992591"/>
    <w:rsid w:val="209B7447"/>
    <w:rsid w:val="209D3C5C"/>
    <w:rsid w:val="20A0611A"/>
    <w:rsid w:val="20A46BD1"/>
    <w:rsid w:val="20A81A1B"/>
    <w:rsid w:val="20AC5470"/>
    <w:rsid w:val="20AE2991"/>
    <w:rsid w:val="20B07FB6"/>
    <w:rsid w:val="20B10327"/>
    <w:rsid w:val="20B61DE1"/>
    <w:rsid w:val="20B646FB"/>
    <w:rsid w:val="20BB2F53"/>
    <w:rsid w:val="20BC033A"/>
    <w:rsid w:val="20BD2A70"/>
    <w:rsid w:val="20BE52A6"/>
    <w:rsid w:val="20C95353"/>
    <w:rsid w:val="20CC5161"/>
    <w:rsid w:val="20E0307E"/>
    <w:rsid w:val="20E64474"/>
    <w:rsid w:val="20E6612E"/>
    <w:rsid w:val="20EC135F"/>
    <w:rsid w:val="20EF2BFD"/>
    <w:rsid w:val="20F36B91"/>
    <w:rsid w:val="20F46465"/>
    <w:rsid w:val="20F72138"/>
    <w:rsid w:val="20FA3EC9"/>
    <w:rsid w:val="20FF1092"/>
    <w:rsid w:val="20FF5536"/>
    <w:rsid w:val="210B35DB"/>
    <w:rsid w:val="210B5C89"/>
    <w:rsid w:val="210C37AF"/>
    <w:rsid w:val="210E7527"/>
    <w:rsid w:val="2110329F"/>
    <w:rsid w:val="21113C66"/>
    <w:rsid w:val="21116E73"/>
    <w:rsid w:val="21141834"/>
    <w:rsid w:val="21156B08"/>
    <w:rsid w:val="211736FF"/>
    <w:rsid w:val="21181A49"/>
    <w:rsid w:val="211A636B"/>
    <w:rsid w:val="211E3429"/>
    <w:rsid w:val="212A3B1E"/>
    <w:rsid w:val="212E2759"/>
    <w:rsid w:val="212E403F"/>
    <w:rsid w:val="213008E8"/>
    <w:rsid w:val="213760CF"/>
    <w:rsid w:val="21397EA8"/>
    <w:rsid w:val="213A2B75"/>
    <w:rsid w:val="213B74B1"/>
    <w:rsid w:val="21400CDB"/>
    <w:rsid w:val="21472A39"/>
    <w:rsid w:val="2149055F"/>
    <w:rsid w:val="21495469"/>
    <w:rsid w:val="214B3F27"/>
    <w:rsid w:val="214C004F"/>
    <w:rsid w:val="214E201A"/>
    <w:rsid w:val="21525C67"/>
    <w:rsid w:val="21555156"/>
    <w:rsid w:val="21571EEF"/>
    <w:rsid w:val="215935C7"/>
    <w:rsid w:val="215A2310"/>
    <w:rsid w:val="215A276C"/>
    <w:rsid w:val="215F5A77"/>
    <w:rsid w:val="216038DA"/>
    <w:rsid w:val="21606EA4"/>
    <w:rsid w:val="21675FC1"/>
    <w:rsid w:val="216A3D04"/>
    <w:rsid w:val="216B3ED6"/>
    <w:rsid w:val="216B6728"/>
    <w:rsid w:val="216B737C"/>
    <w:rsid w:val="216D1DAD"/>
    <w:rsid w:val="216D1E33"/>
    <w:rsid w:val="216E446A"/>
    <w:rsid w:val="216E641F"/>
    <w:rsid w:val="21721428"/>
    <w:rsid w:val="217A3DCB"/>
    <w:rsid w:val="21821CC3"/>
    <w:rsid w:val="2184648F"/>
    <w:rsid w:val="21863561"/>
    <w:rsid w:val="21893052"/>
    <w:rsid w:val="218D2B42"/>
    <w:rsid w:val="218E4935"/>
    <w:rsid w:val="219029AA"/>
    <w:rsid w:val="219519F6"/>
    <w:rsid w:val="219F045D"/>
    <w:rsid w:val="21A165ED"/>
    <w:rsid w:val="21A32365"/>
    <w:rsid w:val="21AB121A"/>
    <w:rsid w:val="21AD33E4"/>
    <w:rsid w:val="21B0767E"/>
    <w:rsid w:val="21B300CF"/>
    <w:rsid w:val="21B378A9"/>
    <w:rsid w:val="21B93937"/>
    <w:rsid w:val="21BB7AEB"/>
    <w:rsid w:val="21BD19B0"/>
    <w:rsid w:val="21BF1DD8"/>
    <w:rsid w:val="21C4238D"/>
    <w:rsid w:val="21C823E3"/>
    <w:rsid w:val="21DD4283"/>
    <w:rsid w:val="21DE318A"/>
    <w:rsid w:val="21DF3764"/>
    <w:rsid w:val="21E035C8"/>
    <w:rsid w:val="21E563B7"/>
    <w:rsid w:val="21E71F53"/>
    <w:rsid w:val="21EF2F8E"/>
    <w:rsid w:val="21EF5B80"/>
    <w:rsid w:val="21FE759C"/>
    <w:rsid w:val="21FF3314"/>
    <w:rsid w:val="22005534"/>
    <w:rsid w:val="220B1A78"/>
    <w:rsid w:val="220B7F0B"/>
    <w:rsid w:val="221768AF"/>
    <w:rsid w:val="221851CD"/>
    <w:rsid w:val="221C3924"/>
    <w:rsid w:val="22210119"/>
    <w:rsid w:val="22277E6D"/>
    <w:rsid w:val="223034CD"/>
    <w:rsid w:val="223213E3"/>
    <w:rsid w:val="22327D5C"/>
    <w:rsid w:val="223905D4"/>
    <w:rsid w:val="223E777F"/>
    <w:rsid w:val="22433200"/>
    <w:rsid w:val="224A2C3B"/>
    <w:rsid w:val="224F6049"/>
    <w:rsid w:val="22515D8C"/>
    <w:rsid w:val="2255079C"/>
    <w:rsid w:val="22565C3D"/>
    <w:rsid w:val="22573150"/>
    <w:rsid w:val="22576990"/>
    <w:rsid w:val="22576CAC"/>
    <w:rsid w:val="22665141"/>
    <w:rsid w:val="226722FE"/>
    <w:rsid w:val="2270672A"/>
    <w:rsid w:val="22764F6C"/>
    <w:rsid w:val="2277440C"/>
    <w:rsid w:val="22781DB4"/>
    <w:rsid w:val="227A67E1"/>
    <w:rsid w:val="227C4013"/>
    <w:rsid w:val="22812CEF"/>
    <w:rsid w:val="22853819"/>
    <w:rsid w:val="228A52D3"/>
    <w:rsid w:val="22947F00"/>
    <w:rsid w:val="22993768"/>
    <w:rsid w:val="229B128E"/>
    <w:rsid w:val="229D31C4"/>
    <w:rsid w:val="229D5007"/>
    <w:rsid w:val="22A478C3"/>
    <w:rsid w:val="22A6486C"/>
    <w:rsid w:val="22AF29EA"/>
    <w:rsid w:val="22AF6AD1"/>
    <w:rsid w:val="22B440FE"/>
    <w:rsid w:val="22B569B0"/>
    <w:rsid w:val="22BF5D2F"/>
    <w:rsid w:val="22C2681B"/>
    <w:rsid w:val="22C70A79"/>
    <w:rsid w:val="22C75BE0"/>
    <w:rsid w:val="22C97BAA"/>
    <w:rsid w:val="22D16A5E"/>
    <w:rsid w:val="22D5788C"/>
    <w:rsid w:val="22DB5B2F"/>
    <w:rsid w:val="22E2549A"/>
    <w:rsid w:val="22E26EBD"/>
    <w:rsid w:val="22E36792"/>
    <w:rsid w:val="22E42C35"/>
    <w:rsid w:val="22E542B8"/>
    <w:rsid w:val="22E650B0"/>
    <w:rsid w:val="22EC33F5"/>
    <w:rsid w:val="22ED4349"/>
    <w:rsid w:val="22F1619D"/>
    <w:rsid w:val="22F3043C"/>
    <w:rsid w:val="22F47480"/>
    <w:rsid w:val="22F62969"/>
    <w:rsid w:val="22F63A7B"/>
    <w:rsid w:val="22F94D8F"/>
    <w:rsid w:val="22FF514D"/>
    <w:rsid w:val="22FF7A6F"/>
    <w:rsid w:val="230E0CDD"/>
    <w:rsid w:val="23137077"/>
    <w:rsid w:val="231400F2"/>
    <w:rsid w:val="231828DF"/>
    <w:rsid w:val="2318643B"/>
    <w:rsid w:val="23214660"/>
    <w:rsid w:val="23270D74"/>
    <w:rsid w:val="232A43C0"/>
    <w:rsid w:val="232A616E"/>
    <w:rsid w:val="232C662D"/>
    <w:rsid w:val="23331578"/>
    <w:rsid w:val="233D2211"/>
    <w:rsid w:val="234342A3"/>
    <w:rsid w:val="23492A98"/>
    <w:rsid w:val="23552070"/>
    <w:rsid w:val="23580F2E"/>
    <w:rsid w:val="23583B3E"/>
    <w:rsid w:val="235E1A01"/>
    <w:rsid w:val="23670458"/>
    <w:rsid w:val="23675615"/>
    <w:rsid w:val="23693D0E"/>
    <w:rsid w:val="236D42CA"/>
    <w:rsid w:val="23707248"/>
    <w:rsid w:val="2371341D"/>
    <w:rsid w:val="23713FC9"/>
    <w:rsid w:val="23737287"/>
    <w:rsid w:val="23775858"/>
    <w:rsid w:val="237815D0"/>
    <w:rsid w:val="237D41D4"/>
    <w:rsid w:val="238268C2"/>
    <w:rsid w:val="23831E91"/>
    <w:rsid w:val="23865695"/>
    <w:rsid w:val="238A1DF2"/>
    <w:rsid w:val="238B4E5F"/>
    <w:rsid w:val="238C0BD7"/>
    <w:rsid w:val="238E69D1"/>
    <w:rsid w:val="23922691"/>
    <w:rsid w:val="23966D6E"/>
    <w:rsid w:val="239C0AC9"/>
    <w:rsid w:val="239C2A0E"/>
    <w:rsid w:val="23A46F6A"/>
    <w:rsid w:val="23A6613D"/>
    <w:rsid w:val="23A83C63"/>
    <w:rsid w:val="23A8519D"/>
    <w:rsid w:val="23A979DB"/>
    <w:rsid w:val="23AB3753"/>
    <w:rsid w:val="23B95E70"/>
    <w:rsid w:val="23BC770E"/>
    <w:rsid w:val="23BD5235"/>
    <w:rsid w:val="23BE3486"/>
    <w:rsid w:val="23C16D78"/>
    <w:rsid w:val="23CB015D"/>
    <w:rsid w:val="23CC1035"/>
    <w:rsid w:val="23CC456F"/>
    <w:rsid w:val="23CE1783"/>
    <w:rsid w:val="23D2200C"/>
    <w:rsid w:val="23D3025C"/>
    <w:rsid w:val="23D5059D"/>
    <w:rsid w:val="23D63CFD"/>
    <w:rsid w:val="23D74548"/>
    <w:rsid w:val="23D83E1C"/>
    <w:rsid w:val="23DB44D8"/>
    <w:rsid w:val="23DD1433"/>
    <w:rsid w:val="23DE1C48"/>
    <w:rsid w:val="23E03226"/>
    <w:rsid w:val="23E17504"/>
    <w:rsid w:val="23E40A13"/>
    <w:rsid w:val="23EA427B"/>
    <w:rsid w:val="23EB1DA2"/>
    <w:rsid w:val="23EB3B50"/>
    <w:rsid w:val="23EB47B7"/>
    <w:rsid w:val="23EC0F85"/>
    <w:rsid w:val="23ED4EDC"/>
    <w:rsid w:val="23EE3640"/>
    <w:rsid w:val="2400212D"/>
    <w:rsid w:val="240210CD"/>
    <w:rsid w:val="240A5943"/>
    <w:rsid w:val="240B09EA"/>
    <w:rsid w:val="240D1799"/>
    <w:rsid w:val="240D1D18"/>
    <w:rsid w:val="24114F6B"/>
    <w:rsid w:val="24122FC2"/>
    <w:rsid w:val="24196A37"/>
    <w:rsid w:val="242332EA"/>
    <w:rsid w:val="242A28CA"/>
    <w:rsid w:val="242C16AD"/>
    <w:rsid w:val="242D4168"/>
    <w:rsid w:val="24325609"/>
    <w:rsid w:val="2443446B"/>
    <w:rsid w:val="245165E9"/>
    <w:rsid w:val="245636BF"/>
    <w:rsid w:val="24594F5D"/>
    <w:rsid w:val="245C67FB"/>
    <w:rsid w:val="246133E4"/>
    <w:rsid w:val="24613E12"/>
    <w:rsid w:val="2466520B"/>
    <w:rsid w:val="24691ECB"/>
    <w:rsid w:val="246B4C91"/>
    <w:rsid w:val="246F4781"/>
    <w:rsid w:val="24701A48"/>
    <w:rsid w:val="247104F9"/>
    <w:rsid w:val="247B4ED4"/>
    <w:rsid w:val="247E318C"/>
    <w:rsid w:val="248024EA"/>
    <w:rsid w:val="2480698E"/>
    <w:rsid w:val="248144B4"/>
    <w:rsid w:val="248508C8"/>
    <w:rsid w:val="24872B02"/>
    <w:rsid w:val="248A15BB"/>
    <w:rsid w:val="248C3135"/>
    <w:rsid w:val="248E5C7D"/>
    <w:rsid w:val="249064A5"/>
    <w:rsid w:val="2492046F"/>
    <w:rsid w:val="249222DE"/>
    <w:rsid w:val="249441E7"/>
    <w:rsid w:val="249661B1"/>
    <w:rsid w:val="249809B4"/>
    <w:rsid w:val="249B7324"/>
    <w:rsid w:val="24A00DDE"/>
    <w:rsid w:val="24A5429E"/>
    <w:rsid w:val="24A83E1B"/>
    <w:rsid w:val="24AF1021"/>
    <w:rsid w:val="24AF4B7D"/>
    <w:rsid w:val="24B16B47"/>
    <w:rsid w:val="24B23BE9"/>
    <w:rsid w:val="24B2466D"/>
    <w:rsid w:val="24B34C32"/>
    <w:rsid w:val="24BE4028"/>
    <w:rsid w:val="24BE6AD8"/>
    <w:rsid w:val="24BF09F7"/>
    <w:rsid w:val="24C525F3"/>
    <w:rsid w:val="24CB79D8"/>
    <w:rsid w:val="24CF6287"/>
    <w:rsid w:val="24D93D10"/>
    <w:rsid w:val="24DB5972"/>
    <w:rsid w:val="24DD0242"/>
    <w:rsid w:val="24E0742D"/>
    <w:rsid w:val="24E321A7"/>
    <w:rsid w:val="24E32A79"/>
    <w:rsid w:val="24E72569"/>
    <w:rsid w:val="24E76A0D"/>
    <w:rsid w:val="24EF27A7"/>
    <w:rsid w:val="24F44C86"/>
    <w:rsid w:val="24F66C50"/>
    <w:rsid w:val="24F921E3"/>
    <w:rsid w:val="24FB5391"/>
    <w:rsid w:val="2500187D"/>
    <w:rsid w:val="250550E5"/>
    <w:rsid w:val="25072171"/>
    <w:rsid w:val="250A0627"/>
    <w:rsid w:val="250E5D48"/>
    <w:rsid w:val="250F386E"/>
    <w:rsid w:val="25137802"/>
    <w:rsid w:val="251470D6"/>
    <w:rsid w:val="251915B4"/>
    <w:rsid w:val="251B1569"/>
    <w:rsid w:val="251B3180"/>
    <w:rsid w:val="252B4ADE"/>
    <w:rsid w:val="252D53FE"/>
    <w:rsid w:val="252D79D0"/>
    <w:rsid w:val="252F3F10"/>
    <w:rsid w:val="25330862"/>
    <w:rsid w:val="253D4AB1"/>
    <w:rsid w:val="25427493"/>
    <w:rsid w:val="2544633D"/>
    <w:rsid w:val="25446C87"/>
    <w:rsid w:val="254A6B74"/>
    <w:rsid w:val="254C061E"/>
    <w:rsid w:val="254C2D14"/>
    <w:rsid w:val="254C4AC2"/>
    <w:rsid w:val="254C5111"/>
    <w:rsid w:val="25506360"/>
    <w:rsid w:val="25537BFE"/>
    <w:rsid w:val="25557BFF"/>
    <w:rsid w:val="256619E3"/>
    <w:rsid w:val="25697E74"/>
    <w:rsid w:val="256B57BB"/>
    <w:rsid w:val="25775411"/>
    <w:rsid w:val="257B1AA1"/>
    <w:rsid w:val="257D1E80"/>
    <w:rsid w:val="2582218D"/>
    <w:rsid w:val="25880DA2"/>
    <w:rsid w:val="25936F62"/>
    <w:rsid w:val="25945FB6"/>
    <w:rsid w:val="25973F8F"/>
    <w:rsid w:val="259A1209"/>
    <w:rsid w:val="259A75DB"/>
    <w:rsid w:val="259F4BF2"/>
    <w:rsid w:val="25A16BBC"/>
    <w:rsid w:val="25A26260"/>
    <w:rsid w:val="25B12B77"/>
    <w:rsid w:val="25B16B07"/>
    <w:rsid w:val="25B332A1"/>
    <w:rsid w:val="25B508B9"/>
    <w:rsid w:val="25B70BD7"/>
    <w:rsid w:val="25C428AA"/>
    <w:rsid w:val="25C44658"/>
    <w:rsid w:val="25D337EF"/>
    <w:rsid w:val="25D7082F"/>
    <w:rsid w:val="25DA0320"/>
    <w:rsid w:val="25E04A8B"/>
    <w:rsid w:val="25E4176E"/>
    <w:rsid w:val="25E54AD8"/>
    <w:rsid w:val="25E60CB1"/>
    <w:rsid w:val="25E904C5"/>
    <w:rsid w:val="25E90563"/>
    <w:rsid w:val="25EB42DB"/>
    <w:rsid w:val="25EC2D81"/>
    <w:rsid w:val="25EE2F07"/>
    <w:rsid w:val="25FB254A"/>
    <w:rsid w:val="25FC2044"/>
    <w:rsid w:val="26052282"/>
    <w:rsid w:val="260705F1"/>
    <w:rsid w:val="26134E94"/>
    <w:rsid w:val="261468D4"/>
    <w:rsid w:val="26151358"/>
    <w:rsid w:val="26194FA6"/>
    <w:rsid w:val="261C36B8"/>
    <w:rsid w:val="261D5DA8"/>
    <w:rsid w:val="261E645E"/>
    <w:rsid w:val="26213859"/>
    <w:rsid w:val="2623794A"/>
    <w:rsid w:val="26276625"/>
    <w:rsid w:val="262E0259"/>
    <w:rsid w:val="262F4B27"/>
    <w:rsid w:val="2635409F"/>
    <w:rsid w:val="26361A27"/>
    <w:rsid w:val="26374857"/>
    <w:rsid w:val="263E5BF2"/>
    <w:rsid w:val="263E75BA"/>
    <w:rsid w:val="26411162"/>
    <w:rsid w:val="264963BD"/>
    <w:rsid w:val="26531852"/>
    <w:rsid w:val="26541E80"/>
    <w:rsid w:val="2657371E"/>
    <w:rsid w:val="265A6D6B"/>
    <w:rsid w:val="265E0FF5"/>
    <w:rsid w:val="265F25D3"/>
    <w:rsid w:val="2663419F"/>
    <w:rsid w:val="2664164A"/>
    <w:rsid w:val="266813A1"/>
    <w:rsid w:val="266B541C"/>
    <w:rsid w:val="266F0A68"/>
    <w:rsid w:val="266F5156"/>
    <w:rsid w:val="26712A32"/>
    <w:rsid w:val="26713510"/>
    <w:rsid w:val="26785F77"/>
    <w:rsid w:val="267E7EE2"/>
    <w:rsid w:val="26834AEC"/>
    <w:rsid w:val="26844C01"/>
    <w:rsid w:val="2686568A"/>
    <w:rsid w:val="26882C4C"/>
    <w:rsid w:val="268D7140"/>
    <w:rsid w:val="268F4C66"/>
    <w:rsid w:val="269A360B"/>
    <w:rsid w:val="26A00DE8"/>
    <w:rsid w:val="26A037B0"/>
    <w:rsid w:val="26A06E73"/>
    <w:rsid w:val="26A36964"/>
    <w:rsid w:val="26A51202"/>
    <w:rsid w:val="26B143A4"/>
    <w:rsid w:val="26B15D04"/>
    <w:rsid w:val="26B2373A"/>
    <w:rsid w:val="26B524AC"/>
    <w:rsid w:val="26B648E9"/>
    <w:rsid w:val="26B97F35"/>
    <w:rsid w:val="26C22E0F"/>
    <w:rsid w:val="26C67E4E"/>
    <w:rsid w:val="26CB1A16"/>
    <w:rsid w:val="26D4107A"/>
    <w:rsid w:val="26D60AE7"/>
    <w:rsid w:val="26DF742E"/>
    <w:rsid w:val="26EA1F8C"/>
    <w:rsid w:val="26EB74FE"/>
    <w:rsid w:val="26ED0B30"/>
    <w:rsid w:val="26EE07EE"/>
    <w:rsid w:val="26EF3957"/>
    <w:rsid w:val="26FA7C64"/>
    <w:rsid w:val="26FE1DEC"/>
    <w:rsid w:val="27090EBD"/>
    <w:rsid w:val="270D5D28"/>
    <w:rsid w:val="270E64D3"/>
    <w:rsid w:val="270F5DA7"/>
    <w:rsid w:val="271764CE"/>
    <w:rsid w:val="27180998"/>
    <w:rsid w:val="27181100"/>
    <w:rsid w:val="271D6716"/>
    <w:rsid w:val="27257379"/>
    <w:rsid w:val="27270A10"/>
    <w:rsid w:val="27280C17"/>
    <w:rsid w:val="27284F7F"/>
    <w:rsid w:val="272877FE"/>
    <w:rsid w:val="2741707C"/>
    <w:rsid w:val="27417518"/>
    <w:rsid w:val="27463F98"/>
    <w:rsid w:val="27495DBA"/>
    <w:rsid w:val="275F4636"/>
    <w:rsid w:val="27626E03"/>
    <w:rsid w:val="27655800"/>
    <w:rsid w:val="27665726"/>
    <w:rsid w:val="276B7AD6"/>
    <w:rsid w:val="277057A2"/>
    <w:rsid w:val="27745D1D"/>
    <w:rsid w:val="27753E2F"/>
    <w:rsid w:val="277729B6"/>
    <w:rsid w:val="2779241F"/>
    <w:rsid w:val="277B343D"/>
    <w:rsid w:val="277D3FBB"/>
    <w:rsid w:val="27822A1D"/>
    <w:rsid w:val="278247CB"/>
    <w:rsid w:val="278542BB"/>
    <w:rsid w:val="278B7B24"/>
    <w:rsid w:val="278E3C52"/>
    <w:rsid w:val="279938C3"/>
    <w:rsid w:val="279B588D"/>
    <w:rsid w:val="279F35CF"/>
    <w:rsid w:val="27A0341C"/>
    <w:rsid w:val="27A110F5"/>
    <w:rsid w:val="27A42993"/>
    <w:rsid w:val="27A622B9"/>
    <w:rsid w:val="27A71092"/>
    <w:rsid w:val="27A71E3E"/>
    <w:rsid w:val="27A91D58"/>
    <w:rsid w:val="27B22553"/>
    <w:rsid w:val="27B32BD6"/>
    <w:rsid w:val="27B46603"/>
    <w:rsid w:val="27B7110C"/>
    <w:rsid w:val="27B82AA4"/>
    <w:rsid w:val="27BA3F65"/>
    <w:rsid w:val="27BC32FD"/>
    <w:rsid w:val="27C00378"/>
    <w:rsid w:val="27C22E19"/>
    <w:rsid w:val="27C44DE4"/>
    <w:rsid w:val="27C5151E"/>
    <w:rsid w:val="27C64B9F"/>
    <w:rsid w:val="27C94A19"/>
    <w:rsid w:val="27D52B4D"/>
    <w:rsid w:val="27D72D69"/>
    <w:rsid w:val="27DF39CB"/>
    <w:rsid w:val="27E05719"/>
    <w:rsid w:val="27E12ABA"/>
    <w:rsid w:val="27E40CC3"/>
    <w:rsid w:val="27E86D96"/>
    <w:rsid w:val="27E901D9"/>
    <w:rsid w:val="27E9484A"/>
    <w:rsid w:val="27F40C6E"/>
    <w:rsid w:val="27F51441"/>
    <w:rsid w:val="27F60D15"/>
    <w:rsid w:val="27FB07E8"/>
    <w:rsid w:val="27FE6547"/>
    <w:rsid w:val="2804422C"/>
    <w:rsid w:val="28107DDA"/>
    <w:rsid w:val="28131E3D"/>
    <w:rsid w:val="28133675"/>
    <w:rsid w:val="281713B7"/>
    <w:rsid w:val="28284ED1"/>
    <w:rsid w:val="28291ACD"/>
    <w:rsid w:val="282B268F"/>
    <w:rsid w:val="282D5AC8"/>
    <w:rsid w:val="28341F69"/>
    <w:rsid w:val="28384C62"/>
    <w:rsid w:val="284542EB"/>
    <w:rsid w:val="28494F94"/>
    <w:rsid w:val="284A224D"/>
    <w:rsid w:val="284C442A"/>
    <w:rsid w:val="28500425"/>
    <w:rsid w:val="2852419D"/>
    <w:rsid w:val="285443B9"/>
    <w:rsid w:val="28546167"/>
    <w:rsid w:val="285929E7"/>
    <w:rsid w:val="285B7E65"/>
    <w:rsid w:val="285E0D94"/>
    <w:rsid w:val="285E278D"/>
    <w:rsid w:val="285F2D5E"/>
    <w:rsid w:val="2865717F"/>
    <w:rsid w:val="286D0FD7"/>
    <w:rsid w:val="286E6AFD"/>
    <w:rsid w:val="28732366"/>
    <w:rsid w:val="287329AA"/>
    <w:rsid w:val="287405B8"/>
    <w:rsid w:val="28794519"/>
    <w:rsid w:val="28794B47"/>
    <w:rsid w:val="287C746C"/>
    <w:rsid w:val="287E31E4"/>
    <w:rsid w:val="287F0D0A"/>
    <w:rsid w:val="288051AE"/>
    <w:rsid w:val="288240FF"/>
    <w:rsid w:val="28885E11"/>
    <w:rsid w:val="28893937"/>
    <w:rsid w:val="288B3B53"/>
    <w:rsid w:val="288B5901"/>
    <w:rsid w:val="288B76AF"/>
    <w:rsid w:val="288E2813"/>
    <w:rsid w:val="288E7167"/>
    <w:rsid w:val="288E79DA"/>
    <w:rsid w:val="28902B0C"/>
    <w:rsid w:val="289123ED"/>
    <w:rsid w:val="28916316"/>
    <w:rsid w:val="28990B31"/>
    <w:rsid w:val="289B2D4A"/>
    <w:rsid w:val="289E3886"/>
    <w:rsid w:val="289F793C"/>
    <w:rsid w:val="28A013AD"/>
    <w:rsid w:val="28A10C81"/>
    <w:rsid w:val="28A47E0D"/>
    <w:rsid w:val="28A8200F"/>
    <w:rsid w:val="28AC15C6"/>
    <w:rsid w:val="28B07116"/>
    <w:rsid w:val="28B9246E"/>
    <w:rsid w:val="28BD72A1"/>
    <w:rsid w:val="28C80903"/>
    <w:rsid w:val="28C826B1"/>
    <w:rsid w:val="28D94044"/>
    <w:rsid w:val="28E514B5"/>
    <w:rsid w:val="28ED036A"/>
    <w:rsid w:val="28F45D7F"/>
    <w:rsid w:val="28F46B87"/>
    <w:rsid w:val="28F66832"/>
    <w:rsid w:val="28F92A68"/>
    <w:rsid w:val="28F9468C"/>
    <w:rsid w:val="28FB0838"/>
    <w:rsid w:val="28FB562B"/>
    <w:rsid w:val="28FC05AD"/>
    <w:rsid w:val="28FF0411"/>
    <w:rsid w:val="29024143"/>
    <w:rsid w:val="290342EC"/>
    <w:rsid w:val="29045516"/>
    <w:rsid w:val="29076459"/>
    <w:rsid w:val="291237E4"/>
    <w:rsid w:val="29165DE6"/>
    <w:rsid w:val="291853E7"/>
    <w:rsid w:val="291C47AB"/>
    <w:rsid w:val="291D5BA8"/>
    <w:rsid w:val="291F1AF4"/>
    <w:rsid w:val="29206EB8"/>
    <w:rsid w:val="292518B2"/>
    <w:rsid w:val="29296A75"/>
    <w:rsid w:val="292E575E"/>
    <w:rsid w:val="29325D7D"/>
    <w:rsid w:val="293353CF"/>
    <w:rsid w:val="29351D81"/>
    <w:rsid w:val="29373393"/>
    <w:rsid w:val="2939710B"/>
    <w:rsid w:val="293E0BC6"/>
    <w:rsid w:val="29407C4A"/>
    <w:rsid w:val="29424E33"/>
    <w:rsid w:val="294258AC"/>
    <w:rsid w:val="29441486"/>
    <w:rsid w:val="29452480"/>
    <w:rsid w:val="294F2DD3"/>
    <w:rsid w:val="29556561"/>
    <w:rsid w:val="29595666"/>
    <w:rsid w:val="295B3526"/>
    <w:rsid w:val="2964687E"/>
    <w:rsid w:val="29665D9C"/>
    <w:rsid w:val="29665DAC"/>
    <w:rsid w:val="296A19BB"/>
    <w:rsid w:val="296A5517"/>
    <w:rsid w:val="296B26B5"/>
    <w:rsid w:val="296C5733"/>
    <w:rsid w:val="297103AF"/>
    <w:rsid w:val="29736AC1"/>
    <w:rsid w:val="29791BFE"/>
    <w:rsid w:val="297A5D79"/>
    <w:rsid w:val="297B2C70"/>
    <w:rsid w:val="297D6B35"/>
    <w:rsid w:val="297F6F18"/>
    <w:rsid w:val="29820AB2"/>
    <w:rsid w:val="29824F56"/>
    <w:rsid w:val="29825178"/>
    <w:rsid w:val="29873255"/>
    <w:rsid w:val="29874881"/>
    <w:rsid w:val="298A745F"/>
    <w:rsid w:val="298C7B83"/>
    <w:rsid w:val="299560C7"/>
    <w:rsid w:val="299A055A"/>
    <w:rsid w:val="299A404E"/>
    <w:rsid w:val="299F2D33"/>
    <w:rsid w:val="299F30F5"/>
    <w:rsid w:val="29A16914"/>
    <w:rsid w:val="29A80ADD"/>
    <w:rsid w:val="29A9585F"/>
    <w:rsid w:val="29AC1E7F"/>
    <w:rsid w:val="29B07389"/>
    <w:rsid w:val="29B36EBE"/>
    <w:rsid w:val="29B50E88"/>
    <w:rsid w:val="29B6290E"/>
    <w:rsid w:val="29B6475C"/>
    <w:rsid w:val="29B9443C"/>
    <w:rsid w:val="29BB084C"/>
    <w:rsid w:val="29BF4A2F"/>
    <w:rsid w:val="29CC7F7F"/>
    <w:rsid w:val="29CD3AD7"/>
    <w:rsid w:val="29CE6480"/>
    <w:rsid w:val="29D447E9"/>
    <w:rsid w:val="29D548A8"/>
    <w:rsid w:val="29D5586E"/>
    <w:rsid w:val="29DA269C"/>
    <w:rsid w:val="29DD03DE"/>
    <w:rsid w:val="29DF5F05"/>
    <w:rsid w:val="29DF6D2B"/>
    <w:rsid w:val="29E06287"/>
    <w:rsid w:val="29E20F69"/>
    <w:rsid w:val="29E325E0"/>
    <w:rsid w:val="29E871FF"/>
    <w:rsid w:val="29EC23D0"/>
    <w:rsid w:val="29F01EC0"/>
    <w:rsid w:val="29F31438"/>
    <w:rsid w:val="29F55728"/>
    <w:rsid w:val="29F714A0"/>
    <w:rsid w:val="29FA689B"/>
    <w:rsid w:val="2A072687"/>
    <w:rsid w:val="2A082110"/>
    <w:rsid w:val="2A094D30"/>
    <w:rsid w:val="2A0D0CC4"/>
    <w:rsid w:val="2A17569E"/>
    <w:rsid w:val="2A1A6F3D"/>
    <w:rsid w:val="2A1D07DB"/>
    <w:rsid w:val="2A1E27A9"/>
    <w:rsid w:val="2A257EAA"/>
    <w:rsid w:val="2A284B8B"/>
    <w:rsid w:val="2A293BD0"/>
    <w:rsid w:val="2A30610A"/>
    <w:rsid w:val="2A337FFE"/>
    <w:rsid w:val="2A353E06"/>
    <w:rsid w:val="2A373196"/>
    <w:rsid w:val="2A3C5105"/>
    <w:rsid w:val="2A3C6551"/>
    <w:rsid w:val="2A3E2FC4"/>
    <w:rsid w:val="2A3F69A3"/>
    <w:rsid w:val="2A4144C9"/>
    <w:rsid w:val="2A436304"/>
    <w:rsid w:val="2A443B9C"/>
    <w:rsid w:val="2A452503"/>
    <w:rsid w:val="2A475858"/>
    <w:rsid w:val="2A4B359A"/>
    <w:rsid w:val="2A4E6BE6"/>
    <w:rsid w:val="2A5561C7"/>
    <w:rsid w:val="2A5A5603"/>
    <w:rsid w:val="2A5F0DF4"/>
    <w:rsid w:val="2A6109FD"/>
    <w:rsid w:val="2A621519"/>
    <w:rsid w:val="2A625934"/>
    <w:rsid w:val="2A640574"/>
    <w:rsid w:val="2A7051A6"/>
    <w:rsid w:val="2A7A6782"/>
    <w:rsid w:val="2A7B0C32"/>
    <w:rsid w:val="2A7C7BF7"/>
    <w:rsid w:val="2A7D127A"/>
    <w:rsid w:val="2A830F86"/>
    <w:rsid w:val="2A8477E9"/>
    <w:rsid w:val="2A8B7457"/>
    <w:rsid w:val="2A8C734B"/>
    <w:rsid w:val="2A9324C9"/>
    <w:rsid w:val="2A9330AE"/>
    <w:rsid w:val="2A936424"/>
    <w:rsid w:val="2A954815"/>
    <w:rsid w:val="2AA131BA"/>
    <w:rsid w:val="2AA35184"/>
    <w:rsid w:val="2AA87F4C"/>
    <w:rsid w:val="2AB51AE7"/>
    <w:rsid w:val="2AB56C65"/>
    <w:rsid w:val="2ABC6AF8"/>
    <w:rsid w:val="2ABE1FBE"/>
    <w:rsid w:val="2AC670C5"/>
    <w:rsid w:val="2AC84BEB"/>
    <w:rsid w:val="2AD43590"/>
    <w:rsid w:val="2ADB35B7"/>
    <w:rsid w:val="2ADE440E"/>
    <w:rsid w:val="2ADF1E10"/>
    <w:rsid w:val="2ADF21EF"/>
    <w:rsid w:val="2ADF3CE2"/>
    <w:rsid w:val="2AE06B40"/>
    <w:rsid w:val="2AE71A13"/>
    <w:rsid w:val="2AEB2687"/>
    <w:rsid w:val="2AEE294F"/>
    <w:rsid w:val="2AEE344F"/>
    <w:rsid w:val="2AF23A16"/>
    <w:rsid w:val="2AF41A0B"/>
    <w:rsid w:val="2AF43463"/>
    <w:rsid w:val="2AF94DA4"/>
    <w:rsid w:val="2AFB4274"/>
    <w:rsid w:val="2AFC2AE6"/>
    <w:rsid w:val="2B0110B4"/>
    <w:rsid w:val="2B0D2CB7"/>
    <w:rsid w:val="2B0D6FF4"/>
    <w:rsid w:val="2B0E3224"/>
    <w:rsid w:val="2B116592"/>
    <w:rsid w:val="2B12230A"/>
    <w:rsid w:val="2B127677"/>
    <w:rsid w:val="2B1321E2"/>
    <w:rsid w:val="2B146CB9"/>
    <w:rsid w:val="2B162954"/>
    <w:rsid w:val="2B173094"/>
    <w:rsid w:val="2B1B055D"/>
    <w:rsid w:val="2B1E5CB3"/>
    <w:rsid w:val="2B234315"/>
    <w:rsid w:val="2B255B99"/>
    <w:rsid w:val="2B2636BF"/>
    <w:rsid w:val="2B2B6CBA"/>
    <w:rsid w:val="2B2E200C"/>
    <w:rsid w:val="2B325796"/>
    <w:rsid w:val="2B391064"/>
    <w:rsid w:val="2B3B53BD"/>
    <w:rsid w:val="2B3C3071"/>
    <w:rsid w:val="2B410523"/>
    <w:rsid w:val="2B463A72"/>
    <w:rsid w:val="2B4741BA"/>
    <w:rsid w:val="2B4B1601"/>
    <w:rsid w:val="2B4B342C"/>
    <w:rsid w:val="2B4D4822"/>
    <w:rsid w:val="2B4F3FAE"/>
    <w:rsid w:val="2B5324B7"/>
    <w:rsid w:val="2B54022C"/>
    <w:rsid w:val="2B54239C"/>
    <w:rsid w:val="2B557467"/>
    <w:rsid w:val="2B593A95"/>
    <w:rsid w:val="2B5976BB"/>
    <w:rsid w:val="2B5D17D7"/>
    <w:rsid w:val="2B5D3585"/>
    <w:rsid w:val="2B626DED"/>
    <w:rsid w:val="2B6748FA"/>
    <w:rsid w:val="2B682D52"/>
    <w:rsid w:val="2B683CD8"/>
    <w:rsid w:val="2B6A7747"/>
    <w:rsid w:val="2B717030"/>
    <w:rsid w:val="2B7712C2"/>
    <w:rsid w:val="2B820121"/>
    <w:rsid w:val="2B822FEC"/>
    <w:rsid w:val="2B824958"/>
    <w:rsid w:val="2B83173F"/>
    <w:rsid w:val="2B886128"/>
    <w:rsid w:val="2B8903D9"/>
    <w:rsid w:val="2B8A1EA0"/>
    <w:rsid w:val="2B8D373E"/>
    <w:rsid w:val="2B944ACD"/>
    <w:rsid w:val="2BA07916"/>
    <w:rsid w:val="2BA23D00"/>
    <w:rsid w:val="2BA604FA"/>
    <w:rsid w:val="2BA678EF"/>
    <w:rsid w:val="2BA936A8"/>
    <w:rsid w:val="2BAA2C87"/>
    <w:rsid w:val="2BAE5CF5"/>
    <w:rsid w:val="2BB459FD"/>
    <w:rsid w:val="2BB62C95"/>
    <w:rsid w:val="2BBC765A"/>
    <w:rsid w:val="2BC453B2"/>
    <w:rsid w:val="2BD067BD"/>
    <w:rsid w:val="2BD21070"/>
    <w:rsid w:val="2BD33847"/>
    <w:rsid w:val="2BE51D9B"/>
    <w:rsid w:val="2BE51E7D"/>
    <w:rsid w:val="2BE75544"/>
    <w:rsid w:val="2BFF463C"/>
    <w:rsid w:val="2BFF706A"/>
    <w:rsid w:val="2C0004FA"/>
    <w:rsid w:val="2C016969"/>
    <w:rsid w:val="2C0253CF"/>
    <w:rsid w:val="2C0A3AE7"/>
    <w:rsid w:val="2C124155"/>
    <w:rsid w:val="2C150AF8"/>
    <w:rsid w:val="2C18532C"/>
    <w:rsid w:val="2C197C11"/>
    <w:rsid w:val="2C204C9E"/>
    <w:rsid w:val="2C315A5A"/>
    <w:rsid w:val="2C33078A"/>
    <w:rsid w:val="2C334622"/>
    <w:rsid w:val="2C3825A0"/>
    <w:rsid w:val="2C387AF5"/>
    <w:rsid w:val="2C3A1B18"/>
    <w:rsid w:val="2C3F2C97"/>
    <w:rsid w:val="2C412EA7"/>
    <w:rsid w:val="2C44486D"/>
    <w:rsid w:val="2C4B1C25"/>
    <w:rsid w:val="2C4B5AD3"/>
    <w:rsid w:val="2C4C53A8"/>
    <w:rsid w:val="2C4E2ECE"/>
    <w:rsid w:val="2C4E61B7"/>
    <w:rsid w:val="2C5030EA"/>
    <w:rsid w:val="2C510E0C"/>
    <w:rsid w:val="2C5435D9"/>
    <w:rsid w:val="2C551123"/>
    <w:rsid w:val="2C556803"/>
    <w:rsid w:val="2C574478"/>
    <w:rsid w:val="2C583D4C"/>
    <w:rsid w:val="2C5C2AC2"/>
    <w:rsid w:val="2C662A4E"/>
    <w:rsid w:val="2C673F8F"/>
    <w:rsid w:val="2C6941AB"/>
    <w:rsid w:val="2C6B08BF"/>
    <w:rsid w:val="2C6B3A80"/>
    <w:rsid w:val="2C6D0A31"/>
    <w:rsid w:val="2C792640"/>
    <w:rsid w:val="2C7C5C8D"/>
    <w:rsid w:val="2C7D5E91"/>
    <w:rsid w:val="2C7E7C57"/>
    <w:rsid w:val="2C8707FF"/>
    <w:rsid w:val="2C8F1485"/>
    <w:rsid w:val="2C9034E6"/>
    <w:rsid w:val="2C910790"/>
    <w:rsid w:val="2C940588"/>
    <w:rsid w:val="2C941321"/>
    <w:rsid w:val="2C944A5D"/>
    <w:rsid w:val="2C957FD0"/>
    <w:rsid w:val="2C9E37D8"/>
    <w:rsid w:val="2C9F7BCD"/>
    <w:rsid w:val="2CA01BFA"/>
    <w:rsid w:val="2CAB72D2"/>
    <w:rsid w:val="2CAD22EA"/>
    <w:rsid w:val="2CB83E22"/>
    <w:rsid w:val="2CC31B0E"/>
    <w:rsid w:val="2CC413E2"/>
    <w:rsid w:val="2CCD473A"/>
    <w:rsid w:val="2CD535EF"/>
    <w:rsid w:val="2CD63BB6"/>
    <w:rsid w:val="2CDC1C9E"/>
    <w:rsid w:val="2CDE24A4"/>
    <w:rsid w:val="2CDF1D27"/>
    <w:rsid w:val="2CE13D42"/>
    <w:rsid w:val="2CE36785"/>
    <w:rsid w:val="2CE50C8D"/>
    <w:rsid w:val="2CED26E7"/>
    <w:rsid w:val="2CED6B8B"/>
    <w:rsid w:val="2CEE384C"/>
    <w:rsid w:val="2CEF46B1"/>
    <w:rsid w:val="2CF47F19"/>
    <w:rsid w:val="2CF9108B"/>
    <w:rsid w:val="2CFF44DF"/>
    <w:rsid w:val="2D067C4C"/>
    <w:rsid w:val="2D080026"/>
    <w:rsid w:val="2D0F61D0"/>
    <w:rsid w:val="2D104627"/>
    <w:rsid w:val="2D105DA1"/>
    <w:rsid w:val="2D140D30"/>
    <w:rsid w:val="2D1E2FC7"/>
    <w:rsid w:val="2D1E4F96"/>
    <w:rsid w:val="2D1F486A"/>
    <w:rsid w:val="2D276A64"/>
    <w:rsid w:val="2D291501"/>
    <w:rsid w:val="2D3447B9"/>
    <w:rsid w:val="2D3B5B48"/>
    <w:rsid w:val="2D3E73E6"/>
    <w:rsid w:val="2D400A78"/>
    <w:rsid w:val="2D4A381D"/>
    <w:rsid w:val="2D510EC7"/>
    <w:rsid w:val="2D5E35E4"/>
    <w:rsid w:val="2D615300"/>
    <w:rsid w:val="2D632F99"/>
    <w:rsid w:val="2D6869D3"/>
    <w:rsid w:val="2D723ADB"/>
    <w:rsid w:val="2D726832"/>
    <w:rsid w:val="2D736C6D"/>
    <w:rsid w:val="2D790B1C"/>
    <w:rsid w:val="2D7921CC"/>
    <w:rsid w:val="2D7D265D"/>
    <w:rsid w:val="2D801D68"/>
    <w:rsid w:val="2D80712B"/>
    <w:rsid w:val="2D8114FB"/>
    <w:rsid w:val="2D83304B"/>
    <w:rsid w:val="2D872B3B"/>
    <w:rsid w:val="2D8D3ECA"/>
    <w:rsid w:val="2D940987"/>
    <w:rsid w:val="2D964F5A"/>
    <w:rsid w:val="2D98790E"/>
    <w:rsid w:val="2D9D235F"/>
    <w:rsid w:val="2D9E56F5"/>
    <w:rsid w:val="2DA52975"/>
    <w:rsid w:val="2DA67DEE"/>
    <w:rsid w:val="2DAE3E54"/>
    <w:rsid w:val="2DB03710"/>
    <w:rsid w:val="2DB17BB8"/>
    <w:rsid w:val="2DBD030B"/>
    <w:rsid w:val="2DC7118A"/>
    <w:rsid w:val="2DCB5396"/>
    <w:rsid w:val="2DCF6685"/>
    <w:rsid w:val="2DD21BCA"/>
    <w:rsid w:val="2DD37A3D"/>
    <w:rsid w:val="2DD45655"/>
    <w:rsid w:val="2DD4768F"/>
    <w:rsid w:val="2DDE1C34"/>
    <w:rsid w:val="2DDF2977"/>
    <w:rsid w:val="2DE41D3C"/>
    <w:rsid w:val="2DE57862"/>
    <w:rsid w:val="2DE64648"/>
    <w:rsid w:val="2DE735DA"/>
    <w:rsid w:val="2DE75388"/>
    <w:rsid w:val="2DEC04BA"/>
    <w:rsid w:val="2DEC0BF0"/>
    <w:rsid w:val="2DED49C9"/>
    <w:rsid w:val="2DEE4968"/>
    <w:rsid w:val="2DEF1221"/>
    <w:rsid w:val="2DF14458"/>
    <w:rsid w:val="2DF2071E"/>
    <w:rsid w:val="2DF950BB"/>
    <w:rsid w:val="2DFA08C3"/>
    <w:rsid w:val="2DFB0E33"/>
    <w:rsid w:val="2DFF6E65"/>
    <w:rsid w:val="2E057AED"/>
    <w:rsid w:val="2E093983"/>
    <w:rsid w:val="2E0A551A"/>
    <w:rsid w:val="2E0D4DEF"/>
    <w:rsid w:val="2E150147"/>
    <w:rsid w:val="2E157560"/>
    <w:rsid w:val="2E192D22"/>
    <w:rsid w:val="2E1D349F"/>
    <w:rsid w:val="2E262354"/>
    <w:rsid w:val="2E3E2885"/>
    <w:rsid w:val="2E402CEA"/>
    <w:rsid w:val="2E4E7256"/>
    <w:rsid w:val="2E505623"/>
    <w:rsid w:val="2E51513F"/>
    <w:rsid w:val="2E516CA5"/>
    <w:rsid w:val="2E533921"/>
    <w:rsid w:val="2E5C5D76"/>
    <w:rsid w:val="2E5E2087"/>
    <w:rsid w:val="2E5F13C2"/>
    <w:rsid w:val="2E60513A"/>
    <w:rsid w:val="2E6136FE"/>
    <w:rsid w:val="2E6469D8"/>
    <w:rsid w:val="2E667F96"/>
    <w:rsid w:val="2E751A57"/>
    <w:rsid w:val="2E7A132F"/>
    <w:rsid w:val="2E7C61BE"/>
    <w:rsid w:val="2E7D5932"/>
    <w:rsid w:val="2E8121D8"/>
    <w:rsid w:val="2E8226AB"/>
    <w:rsid w:val="2E846561"/>
    <w:rsid w:val="2E8779E7"/>
    <w:rsid w:val="2E8C090C"/>
    <w:rsid w:val="2E9D5F10"/>
    <w:rsid w:val="2E9D638E"/>
    <w:rsid w:val="2E9F3A25"/>
    <w:rsid w:val="2E9F5C62"/>
    <w:rsid w:val="2EA0509F"/>
    <w:rsid w:val="2EA636A2"/>
    <w:rsid w:val="2EA95103"/>
    <w:rsid w:val="2EA95BDC"/>
    <w:rsid w:val="2EA96AE1"/>
    <w:rsid w:val="2EB060C2"/>
    <w:rsid w:val="2EB243E0"/>
    <w:rsid w:val="2EB259D5"/>
    <w:rsid w:val="2EB37960"/>
    <w:rsid w:val="2EB45BB2"/>
    <w:rsid w:val="2EB57234"/>
    <w:rsid w:val="2EC503FA"/>
    <w:rsid w:val="2EC549CE"/>
    <w:rsid w:val="2EC82DA4"/>
    <w:rsid w:val="2EC8335A"/>
    <w:rsid w:val="2ECF3E69"/>
    <w:rsid w:val="2ED3590C"/>
    <w:rsid w:val="2ED7364E"/>
    <w:rsid w:val="2ED92A22"/>
    <w:rsid w:val="2EDF2503"/>
    <w:rsid w:val="2EE01E72"/>
    <w:rsid w:val="2EE144CD"/>
    <w:rsid w:val="2EE46262"/>
    <w:rsid w:val="2EE72D23"/>
    <w:rsid w:val="2EEB70FA"/>
    <w:rsid w:val="2EEF6BEA"/>
    <w:rsid w:val="2EF6020D"/>
    <w:rsid w:val="2EF67519"/>
    <w:rsid w:val="2EFA6222"/>
    <w:rsid w:val="2EFB1159"/>
    <w:rsid w:val="2F000DF7"/>
    <w:rsid w:val="2F064F1E"/>
    <w:rsid w:val="2F0D407F"/>
    <w:rsid w:val="2F0F2DE8"/>
    <w:rsid w:val="2F0F41F7"/>
    <w:rsid w:val="2F10090E"/>
    <w:rsid w:val="2F1403FE"/>
    <w:rsid w:val="2F191F09"/>
    <w:rsid w:val="2F204FF5"/>
    <w:rsid w:val="2F263CF9"/>
    <w:rsid w:val="2F265A52"/>
    <w:rsid w:val="2F28063D"/>
    <w:rsid w:val="2F2855A4"/>
    <w:rsid w:val="2F285D40"/>
    <w:rsid w:val="2F2919D0"/>
    <w:rsid w:val="2F2B399A"/>
    <w:rsid w:val="2F2E6FE6"/>
    <w:rsid w:val="2F3232CE"/>
    <w:rsid w:val="2F350375"/>
    <w:rsid w:val="2F3565C7"/>
    <w:rsid w:val="2F3960B7"/>
    <w:rsid w:val="2F3D102C"/>
    <w:rsid w:val="2F3D70D7"/>
    <w:rsid w:val="2F430CE4"/>
    <w:rsid w:val="2F452CAE"/>
    <w:rsid w:val="2F46625C"/>
    <w:rsid w:val="2F485FCE"/>
    <w:rsid w:val="2F4F7689"/>
    <w:rsid w:val="2F5527C5"/>
    <w:rsid w:val="2F57653D"/>
    <w:rsid w:val="2F5848A0"/>
    <w:rsid w:val="2F5D364E"/>
    <w:rsid w:val="2F5E04CA"/>
    <w:rsid w:val="2F631386"/>
    <w:rsid w:val="2F6E3407"/>
    <w:rsid w:val="2F6F3887"/>
    <w:rsid w:val="2F727DA7"/>
    <w:rsid w:val="2F7B7B1C"/>
    <w:rsid w:val="2F7E401E"/>
    <w:rsid w:val="2F7E78CF"/>
    <w:rsid w:val="2F8740A1"/>
    <w:rsid w:val="2F885F8D"/>
    <w:rsid w:val="2F8A1A22"/>
    <w:rsid w:val="2F9318F2"/>
    <w:rsid w:val="2F966089"/>
    <w:rsid w:val="2F966CD4"/>
    <w:rsid w:val="2FA379D4"/>
    <w:rsid w:val="2FA85E11"/>
    <w:rsid w:val="2FAC1323"/>
    <w:rsid w:val="2FAD43AF"/>
    <w:rsid w:val="2FAE302E"/>
    <w:rsid w:val="2FAF45CB"/>
    <w:rsid w:val="2FB27C17"/>
    <w:rsid w:val="2FBB5D2C"/>
    <w:rsid w:val="2FC5328C"/>
    <w:rsid w:val="2FC936AE"/>
    <w:rsid w:val="2FCB08A1"/>
    <w:rsid w:val="2FCB0B93"/>
    <w:rsid w:val="2FCE3FAB"/>
    <w:rsid w:val="2FD065E6"/>
    <w:rsid w:val="2FD17DAD"/>
    <w:rsid w:val="2FD32B02"/>
    <w:rsid w:val="2FD63906"/>
    <w:rsid w:val="2FD96870"/>
    <w:rsid w:val="2FDF0A9D"/>
    <w:rsid w:val="2FE06533"/>
    <w:rsid w:val="2FE230B9"/>
    <w:rsid w:val="2FE9188B"/>
    <w:rsid w:val="2FEC2F3D"/>
    <w:rsid w:val="2FF23E89"/>
    <w:rsid w:val="2FF3270A"/>
    <w:rsid w:val="2FF942D6"/>
    <w:rsid w:val="2FFA3814"/>
    <w:rsid w:val="30066C18"/>
    <w:rsid w:val="300D0893"/>
    <w:rsid w:val="300E149A"/>
    <w:rsid w:val="30116BBE"/>
    <w:rsid w:val="30127265"/>
    <w:rsid w:val="30130062"/>
    <w:rsid w:val="30195E78"/>
    <w:rsid w:val="301D6ABE"/>
    <w:rsid w:val="302428C3"/>
    <w:rsid w:val="30246F76"/>
    <w:rsid w:val="302E3742"/>
    <w:rsid w:val="303643A5"/>
    <w:rsid w:val="30366089"/>
    <w:rsid w:val="30393C33"/>
    <w:rsid w:val="303B6303"/>
    <w:rsid w:val="303E14AB"/>
    <w:rsid w:val="30405223"/>
    <w:rsid w:val="30515682"/>
    <w:rsid w:val="30542A7D"/>
    <w:rsid w:val="30580BC9"/>
    <w:rsid w:val="3058256D"/>
    <w:rsid w:val="305F6C2D"/>
    <w:rsid w:val="306233EC"/>
    <w:rsid w:val="306453B6"/>
    <w:rsid w:val="30656A38"/>
    <w:rsid w:val="306730BD"/>
    <w:rsid w:val="306948A1"/>
    <w:rsid w:val="306C7DC6"/>
    <w:rsid w:val="306E3B3E"/>
    <w:rsid w:val="30731155"/>
    <w:rsid w:val="307373A7"/>
    <w:rsid w:val="30751D15"/>
    <w:rsid w:val="30760DED"/>
    <w:rsid w:val="30776DA0"/>
    <w:rsid w:val="307B1892"/>
    <w:rsid w:val="307B625B"/>
    <w:rsid w:val="307B6426"/>
    <w:rsid w:val="30837189"/>
    <w:rsid w:val="30847806"/>
    <w:rsid w:val="3086532C"/>
    <w:rsid w:val="30897BF9"/>
    <w:rsid w:val="308B356C"/>
    <w:rsid w:val="308C0468"/>
    <w:rsid w:val="30923783"/>
    <w:rsid w:val="30940170"/>
    <w:rsid w:val="309C68FD"/>
    <w:rsid w:val="309E6346"/>
    <w:rsid w:val="309F3AD0"/>
    <w:rsid w:val="30A94160"/>
    <w:rsid w:val="30AD2969"/>
    <w:rsid w:val="30AE03DF"/>
    <w:rsid w:val="30AE4883"/>
    <w:rsid w:val="30B930A4"/>
    <w:rsid w:val="30C510C0"/>
    <w:rsid w:val="30C916BD"/>
    <w:rsid w:val="30CE255C"/>
    <w:rsid w:val="30D60C1A"/>
    <w:rsid w:val="30D65186"/>
    <w:rsid w:val="30D96397"/>
    <w:rsid w:val="30E91417"/>
    <w:rsid w:val="30E958BB"/>
    <w:rsid w:val="30F15476"/>
    <w:rsid w:val="30F415F3"/>
    <w:rsid w:val="30F54260"/>
    <w:rsid w:val="30FA1D63"/>
    <w:rsid w:val="30FF4A8D"/>
    <w:rsid w:val="30FF50DE"/>
    <w:rsid w:val="31004E66"/>
    <w:rsid w:val="31053A95"/>
    <w:rsid w:val="31091AB9"/>
    <w:rsid w:val="31097261"/>
    <w:rsid w:val="310B5831"/>
    <w:rsid w:val="310C55BA"/>
    <w:rsid w:val="3110198B"/>
    <w:rsid w:val="311358EC"/>
    <w:rsid w:val="311D7312"/>
    <w:rsid w:val="311E2ED7"/>
    <w:rsid w:val="311F12DD"/>
    <w:rsid w:val="31204A64"/>
    <w:rsid w:val="31216E03"/>
    <w:rsid w:val="3123557E"/>
    <w:rsid w:val="31275E1C"/>
    <w:rsid w:val="31286732"/>
    <w:rsid w:val="312D39F9"/>
    <w:rsid w:val="312F5EF1"/>
    <w:rsid w:val="31391A57"/>
    <w:rsid w:val="313B779C"/>
    <w:rsid w:val="313C1E8F"/>
    <w:rsid w:val="31406709"/>
    <w:rsid w:val="314A78E9"/>
    <w:rsid w:val="31506289"/>
    <w:rsid w:val="315619EE"/>
    <w:rsid w:val="31570D17"/>
    <w:rsid w:val="315A0567"/>
    <w:rsid w:val="315C449C"/>
    <w:rsid w:val="316118F5"/>
    <w:rsid w:val="316136A3"/>
    <w:rsid w:val="31663B26"/>
    <w:rsid w:val="3168108E"/>
    <w:rsid w:val="316A07AA"/>
    <w:rsid w:val="316E0008"/>
    <w:rsid w:val="31715479"/>
    <w:rsid w:val="317200B2"/>
    <w:rsid w:val="317B29B7"/>
    <w:rsid w:val="317B29C9"/>
    <w:rsid w:val="317E24A7"/>
    <w:rsid w:val="318014EC"/>
    <w:rsid w:val="31807FCD"/>
    <w:rsid w:val="31810811"/>
    <w:rsid w:val="31837ABD"/>
    <w:rsid w:val="318418D3"/>
    <w:rsid w:val="318C4BC4"/>
    <w:rsid w:val="31916472"/>
    <w:rsid w:val="31927D00"/>
    <w:rsid w:val="31973569"/>
    <w:rsid w:val="3198557D"/>
    <w:rsid w:val="319D1733"/>
    <w:rsid w:val="31A0241D"/>
    <w:rsid w:val="31A10280"/>
    <w:rsid w:val="31A36596"/>
    <w:rsid w:val="31A444E3"/>
    <w:rsid w:val="31A45908"/>
    <w:rsid w:val="31A46513"/>
    <w:rsid w:val="31AB2B70"/>
    <w:rsid w:val="31AE766C"/>
    <w:rsid w:val="31B00187"/>
    <w:rsid w:val="31B25E57"/>
    <w:rsid w:val="31B41A25"/>
    <w:rsid w:val="31B63FAB"/>
    <w:rsid w:val="31B66AE4"/>
    <w:rsid w:val="31B82709"/>
    <w:rsid w:val="31B934DF"/>
    <w:rsid w:val="31BB2DB3"/>
    <w:rsid w:val="31BC17CF"/>
    <w:rsid w:val="31BE0A29"/>
    <w:rsid w:val="31C17D7B"/>
    <w:rsid w:val="31CD04B6"/>
    <w:rsid w:val="31D05482"/>
    <w:rsid w:val="31D43E75"/>
    <w:rsid w:val="31D509A5"/>
    <w:rsid w:val="31D9148B"/>
    <w:rsid w:val="31D9592F"/>
    <w:rsid w:val="31DA3488"/>
    <w:rsid w:val="31DF2A98"/>
    <w:rsid w:val="31E542D4"/>
    <w:rsid w:val="31EF0CAF"/>
    <w:rsid w:val="31EF6F01"/>
    <w:rsid w:val="31F07C37"/>
    <w:rsid w:val="31F25448"/>
    <w:rsid w:val="31F4367C"/>
    <w:rsid w:val="31F6203D"/>
    <w:rsid w:val="31F82E26"/>
    <w:rsid w:val="31FD394F"/>
    <w:rsid w:val="31FF74B5"/>
    <w:rsid w:val="3200110E"/>
    <w:rsid w:val="320032C7"/>
    <w:rsid w:val="32055417"/>
    <w:rsid w:val="320600BD"/>
    <w:rsid w:val="32096215"/>
    <w:rsid w:val="320F4EAD"/>
    <w:rsid w:val="32116E77"/>
    <w:rsid w:val="321176C6"/>
    <w:rsid w:val="32126FD4"/>
    <w:rsid w:val="32156D89"/>
    <w:rsid w:val="32202587"/>
    <w:rsid w:val="32236BAB"/>
    <w:rsid w:val="32277321"/>
    <w:rsid w:val="322C6625"/>
    <w:rsid w:val="32336FF4"/>
    <w:rsid w:val="323427D3"/>
    <w:rsid w:val="32342B66"/>
    <w:rsid w:val="32384404"/>
    <w:rsid w:val="32391293"/>
    <w:rsid w:val="323B3EF4"/>
    <w:rsid w:val="32400B34"/>
    <w:rsid w:val="32427031"/>
    <w:rsid w:val="324B7C8E"/>
    <w:rsid w:val="32524DDC"/>
    <w:rsid w:val="32566140"/>
    <w:rsid w:val="325B4596"/>
    <w:rsid w:val="325C03A6"/>
    <w:rsid w:val="326660F9"/>
    <w:rsid w:val="32737B32"/>
    <w:rsid w:val="32786EF6"/>
    <w:rsid w:val="32794A1C"/>
    <w:rsid w:val="327A00FC"/>
    <w:rsid w:val="32803FFD"/>
    <w:rsid w:val="32892EB1"/>
    <w:rsid w:val="328A60DB"/>
    <w:rsid w:val="328B39C8"/>
    <w:rsid w:val="32903052"/>
    <w:rsid w:val="32917FB8"/>
    <w:rsid w:val="32997E20"/>
    <w:rsid w:val="329B2BE5"/>
    <w:rsid w:val="329E6876"/>
    <w:rsid w:val="329F26D5"/>
    <w:rsid w:val="32A14F8C"/>
    <w:rsid w:val="32A33EC3"/>
    <w:rsid w:val="32A36D88"/>
    <w:rsid w:val="32A464FC"/>
    <w:rsid w:val="32A63A63"/>
    <w:rsid w:val="32A93AE3"/>
    <w:rsid w:val="32A95302"/>
    <w:rsid w:val="32AE0B6A"/>
    <w:rsid w:val="32B1065A"/>
    <w:rsid w:val="32B37F2E"/>
    <w:rsid w:val="32B84EEE"/>
    <w:rsid w:val="32B9580A"/>
    <w:rsid w:val="32BF10E1"/>
    <w:rsid w:val="32C608DC"/>
    <w:rsid w:val="32C86514"/>
    <w:rsid w:val="32CC7242"/>
    <w:rsid w:val="32CD767D"/>
    <w:rsid w:val="32D366AB"/>
    <w:rsid w:val="32D519BA"/>
    <w:rsid w:val="32DB1233"/>
    <w:rsid w:val="32DD144F"/>
    <w:rsid w:val="32E32E4F"/>
    <w:rsid w:val="32E53E60"/>
    <w:rsid w:val="32F01183"/>
    <w:rsid w:val="32F04CDF"/>
    <w:rsid w:val="32F50547"/>
    <w:rsid w:val="32F6606D"/>
    <w:rsid w:val="32F8130E"/>
    <w:rsid w:val="32FA3DAF"/>
    <w:rsid w:val="33016EEC"/>
    <w:rsid w:val="33042538"/>
    <w:rsid w:val="33092244"/>
    <w:rsid w:val="33095DA0"/>
    <w:rsid w:val="330F22F4"/>
    <w:rsid w:val="3311641C"/>
    <w:rsid w:val="331A1D5C"/>
    <w:rsid w:val="331C23CE"/>
    <w:rsid w:val="331D7A9E"/>
    <w:rsid w:val="331F3816"/>
    <w:rsid w:val="33291F9F"/>
    <w:rsid w:val="332B6764"/>
    <w:rsid w:val="332D7CE1"/>
    <w:rsid w:val="332E5BDE"/>
    <w:rsid w:val="333015F2"/>
    <w:rsid w:val="33305128"/>
    <w:rsid w:val="33314DEB"/>
    <w:rsid w:val="33354927"/>
    <w:rsid w:val="333932F0"/>
    <w:rsid w:val="333D3879"/>
    <w:rsid w:val="3344502A"/>
    <w:rsid w:val="3345278F"/>
    <w:rsid w:val="33470741"/>
    <w:rsid w:val="33476599"/>
    <w:rsid w:val="33476DC2"/>
    <w:rsid w:val="334B6320"/>
    <w:rsid w:val="3350577D"/>
    <w:rsid w:val="33572FB0"/>
    <w:rsid w:val="335A45E3"/>
    <w:rsid w:val="335C6818"/>
    <w:rsid w:val="335F00B6"/>
    <w:rsid w:val="335F1E64"/>
    <w:rsid w:val="33634ED9"/>
    <w:rsid w:val="33693D3B"/>
    <w:rsid w:val="336E20A7"/>
    <w:rsid w:val="3370535A"/>
    <w:rsid w:val="33712790"/>
    <w:rsid w:val="337D34DB"/>
    <w:rsid w:val="33803EE4"/>
    <w:rsid w:val="3381002D"/>
    <w:rsid w:val="33844DA5"/>
    <w:rsid w:val="338673F1"/>
    <w:rsid w:val="338C0691"/>
    <w:rsid w:val="339B7340"/>
    <w:rsid w:val="339C76AF"/>
    <w:rsid w:val="33A21AF8"/>
    <w:rsid w:val="33A361F5"/>
    <w:rsid w:val="33A82613"/>
    <w:rsid w:val="33B02D19"/>
    <w:rsid w:val="33B421B0"/>
    <w:rsid w:val="33B66B8B"/>
    <w:rsid w:val="33B71CA0"/>
    <w:rsid w:val="33B9777C"/>
    <w:rsid w:val="33BB7B07"/>
    <w:rsid w:val="33BC5D32"/>
    <w:rsid w:val="33BE302F"/>
    <w:rsid w:val="33BF2903"/>
    <w:rsid w:val="33C33AB0"/>
    <w:rsid w:val="33C61EE3"/>
    <w:rsid w:val="33C90DA1"/>
    <w:rsid w:val="33CA1E80"/>
    <w:rsid w:val="33CF4883"/>
    <w:rsid w:val="33D43483"/>
    <w:rsid w:val="33D51301"/>
    <w:rsid w:val="33D62126"/>
    <w:rsid w:val="33D934D4"/>
    <w:rsid w:val="33DE77D3"/>
    <w:rsid w:val="33E24F57"/>
    <w:rsid w:val="33EB5A81"/>
    <w:rsid w:val="33F15DB4"/>
    <w:rsid w:val="33F3601F"/>
    <w:rsid w:val="33F95E15"/>
    <w:rsid w:val="33FB520E"/>
    <w:rsid w:val="33FE2F6A"/>
    <w:rsid w:val="34026D20"/>
    <w:rsid w:val="34052739"/>
    <w:rsid w:val="34076784"/>
    <w:rsid w:val="340E07E5"/>
    <w:rsid w:val="340E3526"/>
    <w:rsid w:val="34120C85"/>
    <w:rsid w:val="34180991"/>
    <w:rsid w:val="341F4EF2"/>
    <w:rsid w:val="34216112"/>
    <w:rsid w:val="34235BF7"/>
    <w:rsid w:val="34252435"/>
    <w:rsid w:val="342D646C"/>
    <w:rsid w:val="342F0CF0"/>
    <w:rsid w:val="342F7A89"/>
    <w:rsid w:val="343108AE"/>
    <w:rsid w:val="34313801"/>
    <w:rsid w:val="34326D2A"/>
    <w:rsid w:val="34360E17"/>
    <w:rsid w:val="34367069"/>
    <w:rsid w:val="3437012A"/>
    <w:rsid w:val="34384B8F"/>
    <w:rsid w:val="3442156A"/>
    <w:rsid w:val="34425A0E"/>
    <w:rsid w:val="34441786"/>
    <w:rsid w:val="3445105A"/>
    <w:rsid w:val="34456D13"/>
    <w:rsid w:val="344670DD"/>
    <w:rsid w:val="34470620"/>
    <w:rsid w:val="345F2108"/>
    <w:rsid w:val="345F2267"/>
    <w:rsid w:val="34643BF1"/>
    <w:rsid w:val="34655258"/>
    <w:rsid w:val="346A286F"/>
    <w:rsid w:val="346E5EEE"/>
    <w:rsid w:val="346F60D7"/>
    <w:rsid w:val="348302AB"/>
    <w:rsid w:val="3491730C"/>
    <w:rsid w:val="34951FE2"/>
    <w:rsid w:val="34983880"/>
    <w:rsid w:val="3498562E"/>
    <w:rsid w:val="349B3370"/>
    <w:rsid w:val="349D7EB2"/>
    <w:rsid w:val="349D7F34"/>
    <w:rsid w:val="34A97091"/>
    <w:rsid w:val="34AC10D9"/>
    <w:rsid w:val="34AD3D56"/>
    <w:rsid w:val="34AE4E51"/>
    <w:rsid w:val="34AF056A"/>
    <w:rsid w:val="34B47F8E"/>
    <w:rsid w:val="34BD32E6"/>
    <w:rsid w:val="34C74165"/>
    <w:rsid w:val="34D106B2"/>
    <w:rsid w:val="34D63432"/>
    <w:rsid w:val="34D72472"/>
    <w:rsid w:val="34D83C7C"/>
    <w:rsid w:val="34D92A75"/>
    <w:rsid w:val="34DA3E98"/>
    <w:rsid w:val="34DB376C"/>
    <w:rsid w:val="34E00841"/>
    <w:rsid w:val="34E02B31"/>
    <w:rsid w:val="34E42621"/>
    <w:rsid w:val="34E76387"/>
    <w:rsid w:val="34E940DB"/>
    <w:rsid w:val="34EA4EFB"/>
    <w:rsid w:val="34F012F6"/>
    <w:rsid w:val="34F42C02"/>
    <w:rsid w:val="34F93620"/>
    <w:rsid w:val="34FE5CB0"/>
    <w:rsid w:val="34FF260E"/>
    <w:rsid w:val="3501357D"/>
    <w:rsid w:val="3505165F"/>
    <w:rsid w:val="350B4052"/>
    <w:rsid w:val="350C7A4D"/>
    <w:rsid w:val="350C7DCA"/>
    <w:rsid w:val="351240B2"/>
    <w:rsid w:val="35140239"/>
    <w:rsid w:val="351729F7"/>
    <w:rsid w:val="35191D00"/>
    <w:rsid w:val="35195F54"/>
    <w:rsid w:val="35243365"/>
    <w:rsid w:val="35265D72"/>
    <w:rsid w:val="352A2A22"/>
    <w:rsid w:val="352F12C2"/>
    <w:rsid w:val="35325A82"/>
    <w:rsid w:val="35333CF6"/>
    <w:rsid w:val="35347ACA"/>
    <w:rsid w:val="353510CF"/>
    <w:rsid w:val="35362B33"/>
    <w:rsid w:val="35396173"/>
    <w:rsid w:val="353C06AF"/>
    <w:rsid w:val="353F33FD"/>
    <w:rsid w:val="35445735"/>
    <w:rsid w:val="354611C5"/>
    <w:rsid w:val="354773B5"/>
    <w:rsid w:val="354E03E2"/>
    <w:rsid w:val="354E222F"/>
    <w:rsid w:val="355157DD"/>
    <w:rsid w:val="35585FE3"/>
    <w:rsid w:val="355C2AFF"/>
    <w:rsid w:val="355E512E"/>
    <w:rsid w:val="35636615"/>
    <w:rsid w:val="356F7872"/>
    <w:rsid w:val="35747E49"/>
    <w:rsid w:val="3575596F"/>
    <w:rsid w:val="3575771D"/>
    <w:rsid w:val="357863AA"/>
    <w:rsid w:val="3578720D"/>
    <w:rsid w:val="357C0AAC"/>
    <w:rsid w:val="357C4F4F"/>
    <w:rsid w:val="357C6CFE"/>
    <w:rsid w:val="357D1B32"/>
    <w:rsid w:val="357F21C9"/>
    <w:rsid w:val="35804720"/>
    <w:rsid w:val="35806582"/>
    <w:rsid w:val="35843E04"/>
    <w:rsid w:val="35852B10"/>
    <w:rsid w:val="358838F4"/>
    <w:rsid w:val="358A766C"/>
    <w:rsid w:val="358C5FA8"/>
    <w:rsid w:val="358D6B7C"/>
    <w:rsid w:val="358E4F55"/>
    <w:rsid w:val="35960164"/>
    <w:rsid w:val="3598340C"/>
    <w:rsid w:val="35A63D7A"/>
    <w:rsid w:val="35B00755"/>
    <w:rsid w:val="35B422E6"/>
    <w:rsid w:val="35B4551D"/>
    <w:rsid w:val="35B46497"/>
    <w:rsid w:val="35B47897"/>
    <w:rsid w:val="35B73686"/>
    <w:rsid w:val="35B85D6B"/>
    <w:rsid w:val="35B87AF3"/>
    <w:rsid w:val="35B87F01"/>
    <w:rsid w:val="35BA37EC"/>
    <w:rsid w:val="35C113D6"/>
    <w:rsid w:val="35C15DF1"/>
    <w:rsid w:val="35C67F79"/>
    <w:rsid w:val="35CB1A33"/>
    <w:rsid w:val="35CD1307"/>
    <w:rsid w:val="35CD57AB"/>
    <w:rsid w:val="35D06050"/>
    <w:rsid w:val="35D17725"/>
    <w:rsid w:val="35D24B6F"/>
    <w:rsid w:val="35D46FE4"/>
    <w:rsid w:val="35DF523C"/>
    <w:rsid w:val="35E87EEF"/>
    <w:rsid w:val="35ED7BFB"/>
    <w:rsid w:val="35EF7369"/>
    <w:rsid w:val="35F02780"/>
    <w:rsid w:val="35FD1591"/>
    <w:rsid w:val="3600792F"/>
    <w:rsid w:val="360441BF"/>
    <w:rsid w:val="36074A7F"/>
    <w:rsid w:val="36123104"/>
    <w:rsid w:val="36124D39"/>
    <w:rsid w:val="36125372"/>
    <w:rsid w:val="362058DB"/>
    <w:rsid w:val="3623361D"/>
    <w:rsid w:val="3627310D"/>
    <w:rsid w:val="362A675A"/>
    <w:rsid w:val="362B4280"/>
    <w:rsid w:val="36335830"/>
    <w:rsid w:val="3633728A"/>
    <w:rsid w:val="363705DB"/>
    <w:rsid w:val="3642219C"/>
    <w:rsid w:val="3643781B"/>
    <w:rsid w:val="36462E68"/>
    <w:rsid w:val="36483084"/>
    <w:rsid w:val="364A0BAA"/>
    <w:rsid w:val="364C4922"/>
    <w:rsid w:val="364D41F6"/>
    <w:rsid w:val="364D692F"/>
    <w:rsid w:val="364F647B"/>
    <w:rsid w:val="364F7F6E"/>
    <w:rsid w:val="36563E72"/>
    <w:rsid w:val="365E6403"/>
    <w:rsid w:val="3660217B"/>
    <w:rsid w:val="36687282"/>
    <w:rsid w:val="366C3B70"/>
    <w:rsid w:val="366C6D72"/>
    <w:rsid w:val="366E2AEA"/>
    <w:rsid w:val="36820344"/>
    <w:rsid w:val="36835E6A"/>
    <w:rsid w:val="36873BAC"/>
    <w:rsid w:val="368C042F"/>
    <w:rsid w:val="368D7AB1"/>
    <w:rsid w:val="36923549"/>
    <w:rsid w:val="369E2CA4"/>
    <w:rsid w:val="36A06A70"/>
    <w:rsid w:val="36A24330"/>
    <w:rsid w:val="36A4475E"/>
    <w:rsid w:val="36A86264"/>
    <w:rsid w:val="36AA5AEC"/>
    <w:rsid w:val="36AB5EDA"/>
    <w:rsid w:val="36AF3103"/>
    <w:rsid w:val="36B64491"/>
    <w:rsid w:val="36B75FBF"/>
    <w:rsid w:val="36B864A4"/>
    <w:rsid w:val="36BA7A2B"/>
    <w:rsid w:val="36BD0C45"/>
    <w:rsid w:val="36BD137C"/>
    <w:rsid w:val="36BE5C28"/>
    <w:rsid w:val="36D55746"/>
    <w:rsid w:val="36D82130"/>
    <w:rsid w:val="36DB5CA6"/>
    <w:rsid w:val="36DC6218"/>
    <w:rsid w:val="36DE12F2"/>
    <w:rsid w:val="36EC4CCA"/>
    <w:rsid w:val="36F11036"/>
    <w:rsid w:val="36F503D6"/>
    <w:rsid w:val="36FB1EA4"/>
    <w:rsid w:val="36FF598F"/>
    <w:rsid w:val="37016D34"/>
    <w:rsid w:val="37021484"/>
    <w:rsid w:val="37025991"/>
    <w:rsid w:val="371116C7"/>
    <w:rsid w:val="37115D70"/>
    <w:rsid w:val="37147F60"/>
    <w:rsid w:val="371D006C"/>
    <w:rsid w:val="371F5382"/>
    <w:rsid w:val="37227BC4"/>
    <w:rsid w:val="37256F21"/>
    <w:rsid w:val="37293FB9"/>
    <w:rsid w:val="372E44BD"/>
    <w:rsid w:val="37307DA0"/>
    <w:rsid w:val="373A29CC"/>
    <w:rsid w:val="373D24BC"/>
    <w:rsid w:val="373E616C"/>
    <w:rsid w:val="373F4487"/>
    <w:rsid w:val="374101FF"/>
    <w:rsid w:val="37436234"/>
    <w:rsid w:val="374750E9"/>
    <w:rsid w:val="37492C0F"/>
    <w:rsid w:val="374E0226"/>
    <w:rsid w:val="374E46CA"/>
    <w:rsid w:val="37500442"/>
    <w:rsid w:val="37531917"/>
    <w:rsid w:val="375717D0"/>
    <w:rsid w:val="375A4E1C"/>
    <w:rsid w:val="375F3F1C"/>
    <w:rsid w:val="37636E25"/>
    <w:rsid w:val="376637C1"/>
    <w:rsid w:val="3767513B"/>
    <w:rsid w:val="37697B5B"/>
    <w:rsid w:val="376B0DD8"/>
    <w:rsid w:val="376C1B89"/>
    <w:rsid w:val="37704640"/>
    <w:rsid w:val="37757078"/>
    <w:rsid w:val="377A7C39"/>
    <w:rsid w:val="3782216C"/>
    <w:rsid w:val="378325C5"/>
    <w:rsid w:val="378465C2"/>
    <w:rsid w:val="378620B5"/>
    <w:rsid w:val="37891588"/>
    <w:rsid w:val="3789593C"/>
    <w:rsid w:val="3797445D"/>
    <w:rsid w:val="37985945"/>
    <w:rsid w:val="379A790F"/>
    <w:rsid w:val="379C74A2"/>
    <w:rsid w:val="379D31BF"/>
    <w:rsid w:val="379F0CE4"/>
    <w:rsid w:val="37A507B5"/>
    <w:rsid w:val="37A650D8"/>
    <w:rsid w:val="37A72B39"/>
    <w:rsid w:val="37AD2E9D"/>
    <w:rsid w:val="37B95FE7"/>
    <w:rsid w:val="37B96F6C"/>
    <w:rsid w:val="37BA1D5F"/>
    <w:rsid w:val="37BF2ED1"/>
    <w:rsid w:val="37C17446"/>
    <w:rsid w:val="37C624B2"/>
    <w:rsid w:val="37C722BD"/>
    <w:rsid w:val="37CF580A"/>
    <w:rsid w:val="37CF7FFC"/>
    <w:rsid w:val="37D03331"/>
    <w:rsid w:val="37DA1F4C"/>
    <w:rsid w:val="37DA41AF"/>
    <w:rsid w:val="37DE77FC"/>
    <w:rsid w:val="37E00298"/>
    <w:rsid w:val="37E172EC"/>
    <w:rsid w:val="37E328ED"/>
    <w:rsid w:val="37EA34C5"/>
    <w:rsid w:val="37EA43F2"/>
    <w:rsid w:val="37ED3EE3"/>
    <w:rsid w:val="37ED5376"/>
    <w:rsid w:val="37EF7C5B"/>
    <w:rsid w:val="37F012DD"/>
    <w:rsid w:val="37F04EB9"/>
    <w:rsid w:val="37F7266B"/>
    <w:rsid w:val="37FB0C30"/>
    <w:rsid w:val="37FE0F38"/>
    <w:rsid w:val="38082ACA"/>
    <w:rsid w:val="380A05F1"/>
    <w:rsid w:val="380A0E68"/>
    <w:rsid w:val="380A1A83"/>
    <w:rsid w:val="380A6843"/>
    <w:rsid w:val="3810197F"/>
    <w:rsid w:val="381256F7"/>
    <w:rsid w:val="38196A86"/>
    <w:rsid w:val="381A003A"/>
    <w:rsid w:val="381E6BD1"/>
    <w:rsid w:val="381E76F6"/>
    <w:rsid w:val="38232C7C"/>
    <w:rsid w:val="38233460"/>
    <w:rsid w:val="38244AE6"/>
    <w:rsid w:val="382457D8"/>
    <w:rsid w:val="38251EE0"/>
    <w:rsid w:val="38281CE1"/>
    <w:rsid w:val="382950ED"/>
    <w:rsid w:val="382C351F"/>
    <w:rsid w:val="382D4708"/>
    <w:rsid w:val="38375E7D"/>
    <w:rsid w:val="383C37C9"/>
    <w:rsid w:val="383F0638"/>
    <w:rsid w:val="38417D8A"/>
    <w:rsid w:val="3842422E"/>
    <w:rsid w:val="3846413A"/>
    <w:rsid w:val="384855BD"/>
    <w:rsid w:val="384B29B7"/>
    <w:rsid w:val="384C097F"/>
    <w:rsid w:val="3857135C"/>
    <w:rsid w:val="3858195E"/>
    <w:rsid w:val="385A18FE"/>
    <w:rsid w:val="385A2C4F"/>
    <w:rsid w:val="38606463"/>
    <w:rsid w:val="38637AFA"/>
    <w:rsid w:val="386516AB"/>
    <w:rsid w:val="386677F1"/>
    <w:rsid w:val="386B25B9"/>
    <w:rsid w:val="386B4E07"/>
    <w:rsid w:val="386D6F81"/>
    <w:rsid w:val="386E63FA"/>
    <w:rsid w:val="387719FE"/>
    <w:rsid w:val="387B329C"/>
    <w:rsid w:val="387C6B9E"/>
    <w:rsid w:val="388008B3"/>
    <w:rsid w:val="38883C0B"/>
    <w:rsid w:val="388C54AA"/>
    <w:rsid w:val="38910D12"/>
    <w:rsid w:val="3894118C"/>
    <w:rsid w:val="38975BFC"/>
    <w:rsid w:val="389D7E3F"/>
    <w:rsid w:val="38A02574"/>
    <w:rsid w:val="38A358BC"/>
    <w:rsid w:val="38A93BAD"/>
    <w:rsid w:val="38AA7EC1"/>
    <w:rsid w:val="38AD5076"/>
    <w:rsid w:val="38AF7871"/>
    <w:rsid w:val="38B302F9"/>
    <w:rsid w:val="38B43053"/>
    <w:rsid w:val="38B66BC3"/>
    <w:rsid w:val="38B7004D"/>
    <w:rsid w:val="38BD4973"/>
    <w:rsid w:val="38BF378B"/>
    <w:rsid w:val="38CC3AF8"/>
    <w:rsid w:val="38D05297"/>
    <w:rsid w:val="38D17360"/>
    <w:rsid w:val="38D40BFF"/>
    <w:rsid w:val="38DB4A52"/>
    <w:rsid w:val="38DF6B2E"/>
    <w:rsid w:val="38E01351"/>
    <w:rsid w:val="38E64A73"/>
    <w:rsid w:val="38E744F6"/>
    <w:rsid w:val="38F12CD3"/>
    <w:rsid w:val="38F4304F"/>
    <w:rsid w:val="38F94775"/>
    <w:rsid w:val="38FB43DD"/>
    <w:rsid w:val="3902751A"/>
    <w:rsid w:val="39096AFA"/>
    <w:rsid w:val="390A4620"/>
    <w:rsid w:val="390C2146"/>
    <w:rsid w:val="390C6013"/>
    <w:rsid w:val="390F7E89"/>
    <w:rsid w:val="39116E78"/>
    <w:rsid w:val="39120D7E"/>
    <w:rsid w:val="39145134"/>
    <w:rsid w:val="39183465"/>
    <w:rsid w:val="39186D3D"/>
    <w:rsid w:val="391B708B"/>
    <w:rsid w:val="39253208"/>
    <w:rsid w:val="39293F76"/>
    <w:rsid w:val="3929719C"/>
    <w:rsid w:val="392971ED"/>
    <w:rsid w:val="39325651"/>
    <w:rsid w:val="39335925"/>
    <w:rsid w:val="39336704"/>
    <w:rsid w:val="39377044"/>
    <w:rsid w:val="393D2C48"/>
    <w:rsid w:val="394153F5"/>
    <w:rsid w:val="394538AA"/>
    <w:rsid w:val="394633D8"/>
    <w:rsid w:val="39492384"/>
    <w:rsid w:val="39496D1E"/>
    <w:rsid w:val="394E275F"/>
    <w:rsid w:val="394E3217"/>
    <w:rsid w:val="395104A1"/>
    <w:rsid w:val="395259F1"/>
    <w:rsid w:val="39551C3C"/>
    <w:rsid w:val="395808CD"/>
    <w:rsid w:val="395F0421"/>
    <w:rsid w:val="396401D4"/>
    <w:rsid w:val="39677FBF"/>
    <w:rsid w:val="39693679"/>
    <w:rsid w:val="396C0E37"/>
    <w:rsid w:val="397228F1"/>
    <w:rsid w:val="39736610"/>
    <w:rsid w:val="39757998"/>
    <w:rsid w:val="39777E98"/>
    <w:rsid w:val="397802ED"/>
    <w:rsid w:val="397A3439"/>
    <w:rsid w:val="397B107A"/>
    <w:rsid w:val="39886815"/>
    <w:rsid w:val="398D0E66"/>
    <w:rsid w:val="39942213"/>
    <w:rsid w:val="399C171C"/>
    <w:rsid w:val="399C35C6"/>
    <w:rsid w:val="399F3BD1"/>
    <w:rsid w:val="399F6541"/>
    <w:rsid w:val="39A400CA"/>
    <w:rsid w:val="39A9208B"/>
    <w:rsid w:val="39AE1450"/>
    <w:rsid w:val="39B0341A"/>
    <w:rsid w:val="39B3532D"/>
    <w:rsid w:val="39B5458C"/>
    <w:rsid w:val="39BA0CC9"/>
    <w:rsid w:val="39C31D0F"/>
    <w:rsid w:val="39C46EC5"/>
    <w:rsid w:val="39C74485"/>
    <w:rsid w:val="39CD7B28"/>
    <w:rsid w:val="39D2513E"/>
    <w:rsid w:val="39D32C64"/>
    <w:rsid w:val="39E14B7F"/>
    <w:rsid w:val="39E76710"/>
    <w:rsid w:val="39E8599F"/>
    <w:rsid w:val="39F328DC"/>
    <w:rsid w:val="39F77CE2"/>
    <w:rsid w:val="39FB31D8"/>
    <w:rsid w:val="39FE0DFA"/>
    <w:rsid w:val="39FE23D7"/>
    <w:rsid w:val="3A033549"/>
    <w:rsid w:val="3A04538C"/>
    <w:rsid w:val="3A0B1D53"/>
    <w:rsid w:val="3A0E0140"/>
    <w:rsid w:val="3A103EB8"/>
    <w:rsid w:val="3A157DA3"/>
    <w:rsid w:val="3A160918"/>
    <w:rsid w:val="3A183A90"/>
    <w:rsid w:val="3A1A4D37"/>
    <w:rsid w:val="3A1F234D"/>
    <w:rsid w:val="3A26708E"/>
    <w:rsid w:val="3A267238"/>
    <w:rsid w:val="3A2D00BF"/>
    <w:rsid w:val="3A3556C1"/>
    <w:rsid w:val="3A3857BC"/>
    <w:rsid w:val="3A4C2B17"/>
    <w:rsid w:val="3A4D2B22"/>
    <w:rsid w:val="3A564669"/>
    <w:rsid w:val="3A571AE7"/>
    <w:rsid w:val="3A5C44FA"/>
    <w:rsid w:val="3A657574"/>
    <w:rsid w:val="3A663AD8"/>
    <w:rsid w:val="3A664773"/>
    <w:rsid w:val="3A6665B9"/>
    <w:rsid w:val="3A706705"/>
    <w:rsid w:val="3A7601BF"/>
    <w:rsid w:val="3A7B539A"/>
    <w:rsid w:val="3A7C154E"/>
    <w:rsid w:val="3A872856"/>
    <w:rsid w:val="3A887EF3"/>
    <w:rsid w:val="3A8D72B7"/>
    <w:rsid w:val="3A9957CB"/>
    <w:rsid w:val="3A9963C7"/>
    <w:rsid w:val="3A9B5A34"/>
    <w:rsid w:val="3AA06FEA"/>
    <w:rsid w:val="3AA52853"/>
    <w:rsid w:val="3AA82343"/>
    <w:rsid w:val="3AAA0260"/>
    <w:rsid w:val="3AAE4E4D"/>
    <w:rsid w:val="3AB17F62"/>
    <w:rsid w:val="3AB65055"/>
    <w:rsid w:val="3AB94550"/>
    <w:rsid w:val="3ABA1D31"/>
    <w:rsid w:val="3ABB3AC8"/>
    <w:rsid w:val="3ABE11D4"/>
    <w:rsid w:val="3ABE5BF7"/>
    <w:rsid w:val="3AC60DD5"/>
    <w:rsid w:val="3ACB69E7"/>
    <w:rsid w:val="3ACD1DA9"/>
    <w:rsid w:val="3ADD023E"/>
    <w:rsid w:val="3AE311B5"/>
    <w:rsid w:val="3AE335BE"/>
    <w:rsid w:val="3AE6778B"/>
    <w:rsid w:val="3AE96BE3"/>
    <w:rsid w:val="3AED7D56"/>
    <w:rsid w:val="3AF223CC"/>
    <w:rsid w:val="3AF37A62"/>
    <w:rsid w:val="3AF64E5C"/>
    <w:rsid w:val="3AF92B9E"/>
    <w:rsid w:val="3B017EED"/>
    <w:rsid w:val="3B042FC7"/>
    <w:rsid w:val="3B043A1D"/>
    <w:rsid w:val="3B0C081D"/>
    <w:rsid w:val="3B0F4170"/>
    <w:rsid w:val="3B117EE8"/>
    <w:rsid w:val="3B1672AC"/>
    <w:rsid w:val="3B176798"/>
    <w:rsid w:val="3B194804"/>
    <w:rsid w:val="3B1D1D7C"/>
    <w:rsid w:val="3B206D08"/>
    <w:rsid w:val="3B220A31"/>
    <w:rsid w:val="3B2220F5"/>
    <w:rsid w:val="3B225C51"/>
    <w:rsid w:val="3B251BE5"/>
    <w:rsid w:val="3B255F6A"/>
    <w:rsid w:val="3B2D1219"/>
    <w:rsid w:val="3B301A1C"/>
    <w:rsid w:val="3B334773"/>
    <w:rsid w:val="3B345984"/>
    <w:rsid w:val="3B3763D1"/>
    <w:rsid w:val="3B3D0CDD"/>
    <w:rsid w:val="3B3F55AB"/>
    <w:rsid w:val="3B403E9F"/>
    <w:rsid w:val="3B441311"/>
    <w:rsid w:val="3B46599C"/>
    <w:rsid w:val="3B471B5C"/>
    <w:rsid w:val="3B4948BF"/>
    <w:rsid w:val="3B4A33FA"/>
    <w:rsid w:val="3B4B164C"/>
    <w:rsid w:val="3B4E14F1"/>
    <w:rsid w:val="3B552D48"/>
    <w:rsid w:val="3B554AA4"/>
    <w:rsid w:val="3B561D9F"/>
    <w:rsid w:val="3B575BA6"/>
    <w:rsid w:val="3B5C3477"/>
    <w:rsid w:val="3B6E628E"/>
    <w:rsid w:val="3B732951"/>
    <w:rsid w:val="3B750477"/>
    <w:rsid w:val="3B755848"/>
    <w:rsid w:val="3B7641EF"/>
    <w:rsid w:val="3B787F67"/>
    <w:rsid w:val="3B800BCA"/>
    <w:rsid w:val="3B881F96"/>
    <w:rsid w:val="3B892174"/>
    <w:rsid w:val="3B8C62A3"/>
    <w:rsid w:val="3B8D6426"/>
    <w:rsid w:val="3B8F285D"/>
    <w:rsid w:val="3B922EDF"/>
    <w:rsid w:val="3B941A8E"/>
    <w:rsid w:val="3B9A612F"/>
    <w:rsid w:val="3B9A7EDD"/>
    <w:rsid w:val="3B9B1CA3"/>
    <w:rsid w:val="3B9B5A04"/>
    <w:rsid w:val="3B9D177C"/>
    <w:rsid w:val="3BA1126C"/>
    <w:rsid w:val="3BA174BE"/>
    <w:rsid w:val="3BA24FE4"/>
    <w:rsid w:val="3BA5296C"/>
    <w:rsid w:val="3BA6272A"/>
    <w:rsid w:val="3BA6683D"/>
    <w:rsid w:val="3BAA0503"/>
    <w:rsid w:val="3BB0325D"/>
    <w:rsid w:val="3BB53761"/>
    <w:rsid w:val="3BB6283D"/>
    <w:rsid w:val="3BB84807"/>
    <w:rsid w:val="3BB85E85"/>
    <w:rsid w:val="3BBA232E"/>
    <w:rsid w:val="3BBA3572"/>
    <w:rsid w:val="3BC14A7A"/>
    <w:rsid w:val="3BC31EAE"/>
    <w:rsid w:val="3BC34804"/>
    <w:rsid w:val="3BCD241E"/>
    <w:rsid w:val="3BCD26CA"/>
    <w:rsid w:val="3BD056AD"/>
    <w:rsid w:val="3BD2242B"/>
    <w:rsid w:val="3BD465BF"/>
    <w:rsid w:val="3BDC04F6"/>
    <w:rsid w:val="3BDC6748"/>
    <w:rsid w:val="3BDF3DFC"/>
    <w:rsid w:val="3BE21FB3"/>
    <w:rsid w:val="3BE253E0"/>
    <w:rsid w:val="3BE473AB"/>
    <w:rsid w:val="3BE92C13"/>
    <w:rsid w:val="3BEB24E7"/>
    <w:rsid w:val="3BEE2536"/>
    <w:rsid w:val="3BF05D4F"/>
    <w:rsid w:val="3BF5780A"/>
    <w:rsid w:val="3C0333A7"/>
    <w:rsid w:val="3C03631A"/>
    <w:rsid w:val="3C077958"/>
    <w:rsid w:val="3C0A2B23"/>
    <w:rsid w:val="3C0E60CD"/>
    <w:rsid w:val="3C131A08"/>
    <w:rsid w:val="3C16603D"/>
    <w:rsid w:val="3C180394"/>
    <w:rsid w:val="3C196521"/>
    <w:rsid w:val="3C1A5D8B"/>
    <w:rsid w:val="3C1D466B"/>
    <w:rsid w:val="3C1E66FA"/>
    <w:rsid w:val="3C20321B"/>
    <w:rsid w:val="3C2109F2"/>
    <w:rsid w:val="3C280756"/>
    <w:rsid w:val="3C2F6E1E"/>
    <w:rsid w:val="3C326368"/>
    <w:rsid w:val="3C395382"/>
    <w:rsid w:val="3C401AE7"/>
    <w:rsid w:val="3C4027F8"/>
    <w:rsid w:val="3C456B89"/>
    <w:rsid w:val="3C461547"/>
    <w:rsid w:val="3C472159"/>
    <w:rsid w:val="3C4A1EF3"/>
    <w:rsid w:val="3C4A2898"/>
    <w:rsid w:val="3C4D4F50"/>
    <w:rsid w:val="3C4F64BA"/>
    <w:rsid w:val="3C577B7C"/>
    <w:rsid w:val="3C595A7B"/>
    <w:rsid w:val="3C5A141B"/>
    <w:rsid w:val="3C5A65EC"/>
    <w:rsid w:val="3C5F2ED5"/>
    <w:rsid w:val="3C5F6A31"/>
    <w:rsid w:val="3C623EED"/>
    <w:rsid w:val="3C650E53"/>
    <w:rsid w:val="3C6C2C0E"/>
    <w:rsid w:val="3C7C081B"/>
    <w:rsid w:val="3C7E291F"/>
    <w:rsid w:val="3C7F71CA"/>
    <w:rsid w:val="3C8F37BA"/>
    <w:rsid w:val="3C990195"/>
    <w:rsid w:val="3CA35737"/>
    <w:rsid w:val="3CA96470"/>
    <w:rsid w:val="3CB43221"/>
    <w:rsid w:val="3CBF02A6"/>
    <w:rsid w:val="3CC05CB2"/>
    <w:rsid w:val="3CC2593E"/>
    <w:rsid w:val="3CC40E19"/>
    <w:rsid w:val="3CC80A7A"/>
    <w:rsid w:val="3CC81065"/>
    <w:rsid w:val="3CC9330B"/>
    <w:rsid w:val="3CCB0652"/>
    <w:rsid w:val="3CCB2319"/>
    <w:rsid w:val="3CCD5185"/>
    <w:rsid w:val="3CD64F45"/>
    <w:rsid w:val="3CD8343A"/>
    <w:rsid w:val="3CDA245A"/>
    <w:rsid w:val="3CE028C1"/>
    <w:rsid w:val="3CE60F00"/>
    <w:rsid w:val="3CEC146C"/>
    <w:rsid w:val="3CEF6007"/>
    <w:rsid w:val="3CFF7F5D"/>
    <w:rsid w:val="3D032F99"/>
    <w:rsid w:val="3D057914"/>
    <w:rsid w:val="3D0870AE"/>
    <w:rsid w:val="3D0E0B83"/>
    <w:rsid w:val="3D12042F"/>
    <w:rsid w:val="3D136199"/>
    <w:rsid w:val="3D14628A"/>
    <w:rsid w:val="3D147655"/>
    <w:rsid w:val="3D170DEA"/>
    <w:rsid w:val="3D18555E"/>
    <w:rsid w:val="3D1B38D7"/>
    <w:rsid w:val="3D1B73CB"/>
    <w:rsid w:val="3D1D1AC9"/>
    <w:rsid w:val="3D1E06B7"/>
    <w:rsid w:val="3D1E333B"/>
    <w:rsid w:val="3D211F38"/>
    <w:rsid w:val="3D243933"/>
    <w:rsid w:val="3D2A07EC"/>
    <w:rsid w:val="3D2A4A1B"/>
    <w:rsid w:val="3D2E4E73"/>
    <w:rsid w:val="3D2F03F7"/>
    <w:rsid w:val="3D2F28A7"/>
    <w:rsid w:val="3D300A3B"/>
    <w:rsid w:val="3D327A37"/>
    <w:rsid w:val="3D354AEE"/>
    <w:rsid w:val="3D3616D9"/>
    <w:rsid w:val="3D3727F3"/>
    <w:rsid w:val="3D3A6C8C"/>
    <w:rsid w:val="3D424389"/>
    <w:rsid w:val="3D453E79"/>
    <w:rsid w:val="3D4544A4"/>
    <w:rsid w:val="3D5679B3"/>
    <w:rsid w:val="3D5F13DF"/>
    <w:rsid w:val="3D612E31"/>
    <w:rsid w:val="3D6604A8"/>
    <w:rsid w:val="3D672041"/>
    <w:rsid w:val="3D69400B"/>
    <w:rsid w:val="3D7071C4"/>
    <w:rsid w:val="3D736C38"/>
    <w:rsid w:val="3D7B2612"/>
    <w:rsid w:val="3D803103"/>
    <w:rsid w:val="3D831383"/>
    <w:rsid w:val="3D864E88"/>
    <w:rsid w:val="3D8D128B"/>
    <w:rsid w:val="3D8E3A72"/>
    <w:rsid w:val="3D915310"/>
    <w:rsid w:val="3D962926"/>
    <w:rsid w:val="3D96372E"/>
    <w:rsid w:val="3D9722E4"/>
    <w:rsid w:val="3D982A90"/>
    <w:rsid w:val="3D992A1B"/>
    <w:rsid w:val="3DA27089"/>
    <w:rsid w:val="3DAB63D2"/>
    <w:rsid w:val="3DB16230"/>
    <w:rsid w:val="3DB63B4E"/>
    <w:rsid w:val="3DB66B25"/>
    <w:rsid w:val="3DBE77BC"/>
    <w:rsid w:val="3DCA612B"/>
    <w:rsid w:val="3DCE2089"/>
    <w:rsid w:val="3DD5344F"/>
    <w:rsid w:val="3DD86A9B"/>
    <w:rsid w:val="3DDD0555"/>
    <w:rsid w:val="3DDF1F52"/>
    <w:rsid w:val="3DDF7E2A"/>
    <w:rsid w:val="3DE04A32"/>
    <w:rsid w:val="3DE051EE"/>
    <w:rsid w:val="3DE1331C"/>
    <w:rsid w:val="3DE26629"/>
    <w:rsid w:val="3DE56C57"/>
    <w:rsid w:val="3DE90CA8"/>
    <w:rsid w:val="3DEB7AD5"/>
    <w:rsid w:val="3DEC2546"/>
    <w:rsid w:val="3DEC777A"/>
    <w:rsid w:val="3DED69EA"/>
    <w:rsid w:val="3DFC6C2D"/>
    <w:rsid w:val="3DFF744E"/>
    <w:rsid w:val="3E02063B"/>
    <w:rsid w:val="3E045AE2"/>
    <w:rsid w:val="3E047890"/>
    <w:rsid w:val="3E091A36"/>
    <w:rsid w:val="3E0B0D58"/>
    <w:rsid w:val="3E0D342E"/>
    <w:rsid w:val="3E111F71"/>
    <w:rsid w:val="3E155F41"/>
    <w:rsid w:val="3E157CEF"/>
    <w:rsid w:val="3E164325"/>
    <w:rsid w:val="3E175815"/>
    <w:rsid w:val="3E1D4DF6"/>
    <w:rsid w:val="3E305FA4"/>
    <w:rsid w:val="3E344619"/>
    <w:rsid w:val="3E38578C"/>
    <w:rsid w:val="3E3D1361"/>
    <w:rsid w:val="3E405AC3"/>
    <w:rsid w:val="3E436EB9"/>
    <w:rsid w:val="3E4A559D"/>
    <w:rsid w:val="3E4E3201"/>
    <w:rsid w:val="3E502AD5"/>
    <w:rsid w:val="3E5113F6"/>
    <w:rsid w:val="3E55089D"/>
    <w:rsid w:val="3E567255"/>
    <w:rsid w:val="3E5F540E"/>
    <w:rsid w:val="3E6252E4"/>
    <w:rsid w:val="3E634E33"/>
    <w:rsid w:val="3E6D7B2B"/>
    <w:rsid w:val="3E6E11AD"/>
    <w:rsid w:val="3E723B83"/>
    <w:rsid w:val="3E734A16"/>
    <w:rsid w:val="3E73623C"/>
    <w:rsid w:val="3E7A6311"/>
    <w:rsid w:val="3E7C1B1B"/>
    <w:rsid w:val="3E810639"/>
    <w:rsid w:val="3E815385"/>
    <w:rsid w:val="3E840B95"/>
    <w:rsid w:val="3E895827"/>
    <w:rsid w:val="3E931F6B"/>
    <w:rsid w:val="3E974BA8"/>
    <w:rsid w:val="3E9F2404"/>
    <w:rsid w:val="3EA3354D"/>
    <w:rsid w:val="3EA725E9"/>
    <w:rsid w:val="3EAA2D3B"/>
    <w:rsid w:val="3EAB0DF2"/>
    <w:rsid w:val="3EAD511D"/>
    <w:rsid w:val="3EC01486"/>
    <w:rsid w:val="3EC6723B"/>
    <w:rsid w:val="3ED01E68"/>
    <w:rsid w:val="3ED0647D"/>
    <w:rsid w:val="3EDA0523"/>
    <w:rsid w:val="3EDC6A5F"/>
    <w:rsid w:val="3EDC79F2"/>
    <w:rsid w:val="3EE17BD1"/>
    <w:rsid w:val="3EE649EF"/>
    <w:rsid w:val="3EEC6CCE"/>
    <w:rsid w:val="3EEE30D1"/>
    <w:rsid w:val="3EEE34B5"/>
    <w:rsid w:val="3EF1250A"/>
    <w:rsid w:val="3EF73EAA"/>
    <w:rsid w:val="3EFB582B"/>
    <w:rsid w:val="3EFC4A0B"/>
    <w:rsid w:val="3EFE449F"/>
    <w:rsid w:val="3EFE516F"/>
    <w:rsid w:val="3EFE69D5"/>
    <w:rsid w:val="3F025D60"/>
    <w:rsid w:val="3F034951"/>
    <w:rsid w:val="3F067638"/>
    <w:rsid w:val="3F0B4C4E"/>
    <w:rsid w:val="3F11545D"/>
    <w:rsid w:val="3F150E3B"/>
    <w:rsid w:val="3F1735F3"/>
    <w:rsid w:val="3F2A7A93"/>
    <w:rsid w:val="3F3348D1"/>
    <w:rsid w:val="3F347E15"/>
    <w:rsid w:val="3F361337"/>
    <w:rsid w:val="3F3754A5"/>
    <w:rsid w:val="3F3D74FE"/>
    <w:rsid w:val="3F3F3B6F"/>
    <w:rsid w:val="3F402804"/>
    <w:rsid w:val="3F4168C2"/>
    <w:rsid w:val="3F422D66"/>
    <w:rsid w:val="3F4563B2"/>
    <w:rsid w:val="3F4603B2"/>
    <w:rsid w:val="3F473ED8"/>
    <w:rsid w:val="3F4865FD"/>
    <w:rsid w:val="3F50229F"/>
    <w:rsid w:val="3F5449DF"/>
    <w:rsid w:val="3F557974"/>
    <w:rsid w:val="3F5900B0"/>
    <w:rsid w:val="3F5B5BD6"/>
    <w:rsid w:val="3F5D36FC"/>
    <w:rsid w:val="3F5D6E73"/>
    <w:rsid w:val="3F5F6C1E"/>
    <w:rsid w:val="3F650802"/>
    <w:rsid w:val="3F6A7BC7"/>
    <w:rsid w:val="3F6D4051"/>
    <w:rsid w:val="3F6E5909"/>
    <w:rsid w:val="3F775F3F"/>
    <w:rsid w:val="3F7A6F74"/>
    <w:rsid w:val="3F7E18C4"/>
    <w:rsid w:val="3F8211FE"/>
    <w:rsid w:val="3F8A0269"/>
    <w:rsid w:val="3F9335C1"/>
    <w:rsid w:val="3F9B525D"/>
    <w:rsid w:val="3F9F05C1"/>
    <w:rsid w:val="3FAF7CCF"/>
    <w:rsid w:val="3FB05F21"/>
    <w:rsid w:val="3FB11C9A"/>
    <w:rsid w:val="3FB222C6"/>
    <w:rsid w:val="3FB44E3F"/>
    <w:rsid w:val="3FB928FC"/>
    <w:rsid w:val="3FBC169A"/>
    <w:rsid w:val="3FC30C1E"/>
    <w:rsid w:val="3FC71906"/>
    <w:rsid w:val="3FCB2D5B"/>
    <w:rsid w:val="3FD403DE"/>
    <w:rsid w:val="3FD61700"/>
    <w:rsid w:val="3FD64DF8"/>
    <w:rsid w:val="3FD80FD4"/>
    <w:rsid w:val="3FDC61B0"/>
    <w:rsid w:val="3FDF6543"/>
    <w:rsid w:val="3FE01558"/>
    <w:rsid w:val="3FE129D4"/>
    <w:rsid w:val="3FE578F7"/>
    <w:rsid w:val="3FE77469"/>
    <w:rsid w:val="3FE87658"/>
    <w:rsid w:val="3FEE0CD1"/>
    <w:rsid w:val="3FF43934"/>
    <w:rsid w:val="3FFF2A05"/>
    <w:rsid w:val="40026051"/>
    <w:rsid w:val="40043DBE"/>
    <w:rsid w:val="40063D93"/>
    <w:rsid w:val="400973E0"/>
    <w:rsid w:val="400C3435"/>
    <w:rsid w:val="400E712C"/>
    <w:rsid w:val="4013200C"/>
    <w:rsid w:val="40162605"/>
    <w:rsid w:val="4019244A"/>
    <w:rsid w:val="401A7346"/>
    <w:rsid w:val="401F09B1"/>
    <w:rsid w:val="4020663E"/>
    <w:rsid w:val="402363AA"/>
    <w:rsid w:val="4028272F"/>
    <w:rsid w:val="4035634F"/>
    <w:rsid w:val="403747F7"/>
    <w:rsid w:val="40386B0E"/>
    <w:rsid w:val="403D2262"/>
    <w:rsid w:val="403D352D"/>
    <w:rsid w:val="404F4CF5"/>
    <w:rsid w:val="4050500F"/>
    <w:rsid w:val="40520591"/>
    <w:rsid w:val="405532B0"/>
    <w:rsid w:val="4057639D"/>
    <w:rsid w:val="405A4DBF"/>
    <w:rsid w:val="405B4E68"/>
    <w:rsid w:val="405D5525"/>
    <w:rsid w:val="40697DEF"/>
    <w:rsid w:val="406B009A"/>
    <w:rsid w:val="406B1E48"/>
    <w:rsid w:val="406D0E4E"/>
    <w:rsid w:val="40707630"/>
    <w:rsid w:val="40776D0C"/>
    <w:rsid w:val="407A6407"/>
    <w:rsid w:val="407C22A8"/>
    <w:rsid w:val="407D082D"/>
    <w:rsid w:val="407D1B7C"/>
    <w:rsid w:val="40833636"/>
    <w:rsid w:val="40833836"/>
    <w:rsid w:val="40843509"/>
    <w:rsid w:val="40860A30"/>
    <w:rsid w:val="408D0011"/>
    <w:rsid w:val="408D4405"/>
    <w:rsid w:val="40945F46"/>
    <w:rsid w:val="40956EC5"/>
    <w:rsid w:val="40994C08"/>
    <w:rsid w:val="409B10FE"/>
    <w:rsid w:val="409C584F"/>
    <w:rsid w:val="409F1AF2"/>
    <w:rsid w:val="40A23390"/>
    <w:rsid w:val="40A32DDB"/>
    <w:rsid w:val="40A42ECE"/>
    <w:rsid w:val="40AD06B3"/>
    <w:rsid w:val="40BA0A90"/>
    <w:rsid w:val="40BE7272"/>
    <w:rsid w:val="40C17CBA"/>
    <w:rsid w:val="40C23104"/>
    <w:rsid w:val="40C559FD"/>
    <w:rsid w:val="40CE7F9F"/>
    <w:rsid w:val="40CF687B"/>
    <w:rsid w:val="40D774DE"/>
    <w:rsid w:val="40D96C07"/>
    <w:rsid w:val="40DA73F7"/>
    <w:rsid w:val="40DD45B0"/>
    <w:rsid w:val="40DF6820"/>
    <w:rsid w:val="40E64BA0"/>
    <w:rsid w:val="40E83499"/>
    <w:rsid w:val="40ED1E23"/>
    <w:rsid w:val="40F13B3A"/>
    <w:rsid w:val="40FC6603"/>
    <w:rsid w:val="40FE33D2"/>
    <w:rsid w:val="4100099C"/>
    <w:rsid w:val="41016309"/>
    <w:rsid w:val="41026F37"/>
    <w:rsid w:val="41032081"/>
    <w:rsid w:val="41087697"/>
    <w:rsid w:val="4110479E"/>
    <w:rsid w:val="411424E0"/>
    <w:rsid w:val="4118161C"/>
    <w:rsid w:val="41196EB5"/>
    <w:rsid w:val="411C3143"/>
    <w:rsid w:val="411F5BB4"/>
    <w:rsid w:val="41220DA0"/>
    <w:rsid w:val="41245A4A"/>
    <w:rsid w:val="41322466"/>
    <w:rsid w:val="41372104"/>
    <w:rsid w:val="413E57AF"/>
    <w:rsid w:val="413F5BE3"/>
    <w:rsid w:val="414032D5"/>
    <w:rsid w:val="41444FBD"/>
    <w:rsid w:val="41466412"/>
    <w:rsid w:val="414C1C7A"/>
    <w:rsid w:val="414C43D2"/>
    <w:rsid w:val="414C5A16"/>
    <w:rsid w:val="414F3518"/>
    <w:rsid w:val="41501AD6"/>
    <w:rsid w:val="41532648"/>
    <w:rsid w:val="415428DD"/>
    <w:rsid w:val="415B1EBD"/>
    <w:rsid w:val="415D5C35"/>
    <w:rsid w:val="41603FC2"/>
    <w:rsid w:val="4163482F"/>
    <w:rsid w:val="41642026"/>
    <w:rsid w:val="41662610"/>
    <w:rsid w:val="416845DA"/>
    <w:rsid w:val="4175393A"/>
    <w:rsid w:val="417B474B"/>
    <w:rsid w:val="418036D2"/>
    <w:rsid w:val="418C651A"/>
    <w:rsid w:val="418D5DEE"/>
    <w:rsid w:val="418E116F"/>
    <w:rsid w:val="418E2292"/>
    <w:rsid w:val="418F1406"/>
    <w:rsid w:val="4192711A"/>
    <w:rsid w:val="419942A2"/>
    <w:rsid w:val="41A01048"/>
    <w:rsid w:val="41A35612"/>
    <w:rsid w:val="41A95B48"/>
    <w:rsid w:val="41AE3707"/>
    <w:rsid w:val="41B14FD3"/>
    <w:rsid w:val="41B754B5"/>
    <w:rsid w:val="41B810BD"/>
    <w:rsid w:val="41B86FBC"/>
    <w:rsid w:val="41BB6E00"/>
    <w:rsid w:val="41C2018E"/>
    <w:rsid w:val="41C757A4"/>
    <w:rsid w:val="41C77552"/>
    <w:rsid w:val="41D1217F"/>
    <w:rsid w:val="41D37CA5"/>
    <w:rsid w:val="41D45489"/>
    <w:rsid w:val="41D517BC"/>
    <w:rsid w:val="41D659E7"/>
    <w:rsid w:val="41D7297A"/>
    <w:rsid w:val="41DB45E4"/>
    <w:rsid w:val="41DB5143"/>
    <w:rsid w:val="41E06866"/>
    <w:rsid w:val="41E449B3"/>
    <w:rsid w:val="41E663EE"/>
    <w:rsid w:val="41E876D8"/>
    <w:rsid w:val="41EE2D31"/>
    <w:rsid w:val="41EE786F"/>
    <w:rsid w:val="41EF0857"/>
    <w:rsid w:val="41F145CF"/>
    <w:rsid w:val="41F1637D"/>
    <w:rsid w:val="41FB71FC"/>
    <w:rsid w:val="4200449D"/>
    <w:rsid w:val="420074A8"/>
    <w:rsid w:val="4202058A"/>
    <w:rsid w:val="42042555"/>
    <w:rsid w:val="421447CF"/>
    <w:rsid w:val="42160CF6"/>
    <w:rsid w:val="42226EC9"/>
    <w:rsid w:val="4222708E"/>
    <w:rsid w:val="42274C1C"/>
    <w:rsid w:val="422B375F"/>
    <w:rsid w:val="422D4E13"/>
    <w:rsid w:val="422D7E42"/>
    <w:rsid w:val="422E137F"/>
    <w:rsid w:val="422E2454"/>
    <w:rsid w:val="42344891"/>
    <w:rsid w:val="423A3BCC"/>
    <w:rsid w:val="423F17DF"/>
    <w:rsid w:val="423F52A3"/>
    <w:rsid w:val="42417305"/>
    <w:rsid w:val="42430786"/>
    <w:rsid w:val="42443965"/>
    <w:rsid w:val="424706ED"/>
    <w:rsid w:val="424B299D"/>
    <w:rsid w:val="424B7571"/>
    <w:rsid w:val="424C5CAA"/>
    <w:rsid w:val="424E57D2"/>
    <w:rsid w:val="42500A1C"/>
    <w:rsid w:val="42552DC1"/>
    <w:rsid w:val="425A3F23"/>
    <w:rsid w:val="425E167F"/>
    <w:rsid w:val="42714011"/>
    <w:rsid w:val="42723962"/>
    <w:rsid w:val="42733236"/>
    <w:rsid w:val="42756FAE"/>
    <w:rsid w:val="427A71A8"/>
    <w:rsid w:val="42824DCC"/>
    <w:rsid w:val="42850C70"/>
    <w:rsid w:val="428E62C2"/>
    <w:rsid w:val="42924EBF"/>
    <w:rsid w:val="42976F25"/>
    <w:rsid w:val="42982C9D"/>
    <w:rsid w:val="42997141"/>
    <w:rsid w:val="429C09DF"/>
    <w:rsid w:val="429D6505"/>
    <w:rsid w:val="42A769CC"/>
    <w:rsid w:val="42A81083"/>
    <w:rsid w:val="42A82B7D"/>
    <w:rsid w:val="42AA0152"/>
    <w:rsid w:val="42AB0C22"/>
    <w:rsid w:val="42AB29D0"/>
    <w:rsid w:val="42B26C49"/>
    <w:rsid w:val="42B30555"/>
    <w:rsid w:val="42B32E16"/>
    <w:rsid w:val="42B75819"/>
    <w:rsid w:val="42BA0E65"/>
    <w:rsid w:val="42BA70B7"/>
    <w:rsid w:val="42BD205F"/>
    <w:rsid w:val="42BF6300"/>
    <w:rsid w:val="42C13695"/>
    <w:rsid w:val="42D02437"/>
    <w:rsid w:val="42D31F27"/>
    <w:rsid w:val="42D335A2"/>
    <w:rsid w:val="42D8470F"/>
    <w:rsid w:val="42D95E10"/>
    <w:rsid w:val="42DC52F6"/>
    <w:rsid w:val="42DD4805"/>
    <w:rsid w:val="42E13E64"/>
    <w:rsid w:val="42E934F8"/>
    <w:rsid w:val="42EC3EEE"/>
    <w:rsid w:val="42EE0B0F"/>
    <w:rsid w:val="42EE327C"/>
    <w:rsid w:val="42EF6D61"/>
    <w:rsid w:val="42F73568"/>
    <w:rsid w:val="42F75D36"/>
    <w:rsid w:val="43016A94"/>
    <w:rsid w:val="43074746"/>
    <w:rsid w:val="43092241"/>
    <w:rsid w:val="430C730F"/>
    <w:rsid w:val="43155919"/>
    <w:rsid w:val="43171E14"/>
    <w:rsid w:val="431A5BC2"/>
    <w:rsid w:val="431C742A"/>
    <w:rsid w:val="43237390"/>
    <w:rsid w:val="432509D4"/>
    <w:rsid w:val="432664FB"/>
    <w:rsid w:val="4329074B"/>
    <w:rsid w:val="432D3564"/>
    <w:rsid w:val="432D7889"/>
    <w:rsid w:val="432F0D71"/>
    <w:rsid w:val="433A6FE6"/>
    <w:rsid w:val="433F48B3"/>
    <w:rsid w:val="43480868"/>
    <w:rsid w:val="43496F4C"/>
    <w:rsid w:val="4350713C"/>
    <w:rsid w:val="43507787"/>
    <w:rsid w:val="43525542"/>
    <w:rsid w:val="43566DE0"/>
    <w:rsid w:val="435B61A4"/>
    <w:rsid w:val="435C2559"/>
    <w:rsid w:val="435E5C94"/>
    <w:rsid w:val="43615785"/>
    <w:rsid w:val="43636D69"/>
    <w:rsid w:val="43637A1B"/>
    <w:rsid w:val="43652195"/>
    <w:rsid w:val="436653E0"/>
    <w:rsid w:val="43686B13"/>
    <w:rsid w:val="436F4FCF"/>
    <w:rsid w:val="43716D43"/>
    <w:rsid w:val="437454B8"/>
    <w:rsid w:val="437A63B0"/>
    <w:rsid w:val="437C337C"/>
    <w:rsid w:val="43803E5D"/>
    <w:rsid w:val="43844075"/>
    <w:rsid w:val="43895B7A"/>
    <w:rsid w:val="438B2199"/>
    <w:rsid w:val="438D0328"/>
    <w:rsid w:val="43913BF4"/>
    <w:rsid w:val="43923B90"/>
    <w:rsid w:val="4396542E"/>
    <w:rsid w:val="439711A6"/>
    <w:rsid w:val="43972360"/>
    <w:rsid w:val="43972F54"/>
    <w:rsid w:val="43A833B4"/>
    <w:rsid w:val="43B14149"/>
    <w:rsid w:val="43B458B4"/>
    <w:rsid w:val="43B753A5"/>
    <w:rsid w:val="43B9111D"/>
    <w:rsid w:val="43C4431A"/>
    <w:rsid w:val="43C76C85"/>
    <w:rsid w:val="43D917BF"/>
    <w:rsid w:val="43E00D2E"/>
    <w:rsid w:val="43E44220"/>
    <w:rsid w:val="43EE18A9"/>
    <w:rsid w:val="43F14D5A"/>
    <w:rsid w:val="43F31768"/>
    <w:rsid w:val="43F40BAA"/>
    <w:rsid w:val="43F7617F"/>
    <w:rsid w:val="43F959BD"/>
    <w:rsid w:val="43FA0796"/>
    <w:rsid w:val="43FD725B"/>
    <w:rsid w:val="440004EA"/>
    <w:rsid w:val="44004F9E"/>
    <w:rsid w:val="44056110"/>
    <w:rsid w:val="4407632C"/>
    <w:rsid w:val="440852C7"/>
    <w:rsid w:val="440A1978"/>
    <w:rsid w:val="440B0A86"/>
    <w:rsid w:val="440D2D79"/>
    <w:rsid w:val="440D4EE0"/>
    <w:rsid w:val="44112709"/>
    <w:rsid w:val="44154A1B"/>
    <w:rsid w:val="4416656F"/>
    <w:rsid w:val="4427252A"/>
    <w:rsid w:val="442C18EF"/>
    <w:rsid w:val="442C5D93"/>
    <w:rsid w:val="442D73C5"/>
    <w:rsid w:val="443133A9"/>
    <w:rsid w:val="44336442"/>
    <w:rsid w:val="44356FF7"/>
    <w:rsid w:val="4436451B"/>
    <w:rsid w:val="443D58AA"/>
    <w:rsid w:val="44406129"/>
    <w:rsid w:val="44411E62"/>
    <w:rsid w:val="44421112"/>
    <w:rsid w:val="4447497A"/>
    <w:rsid w:val="44494453"/>
    <w:rsid w:val="44496945"/>
    <w:rsid w:val="444B5B90"/>
    <w:rsid w:val="445006D7"/>
    <w:rsid w:val="445114B8"/>
    <w:rsid w:val="44511781"/>
    <w:rsid w:val="44586B88"/>
    <w:rsid w:val="445D419E"/>
    <w:rsid w:val="44654DB4"/>
    <w:rsid w:val="44670B79"/>
    <w:rsid w:val="446B46BE"/>
    <w:rsid w:val="446C43E1"/>
    <w:rsid w:val="44703ED1"/>
    <w:rsid w:val="44711D33"/>
    <w:rsid w:val="447514E8"/>
    <w:rsid w:val="447C05E2"/>
    <w:rsid w:val="447C4F7C"/>
    <w:rsid w:val="448D5C50"/>
    <w:rsid w:val="448E493B"/>
    <w:rsid w:val="44920A22"/>
    <w:rsid w:val="449E52BE"/>
    <w:rsid w:val="449F0978"/>
    <w:rsid w:val="44A15E31"/>
    <w:rsid w:val="44B353E0"/>
    <w:rsid w:val="44B738AE"/>
    <w:rsid w:val="44B951CC"/>
    <w:rsid w:val="44B95B40"/>
    <w:rsid w:val="44C1472D"/>
    <w:rsid w:val="44C351D6"/>
    <w:rsid w:val="44C35A6E"/>
    <w:rsid w:val="44C71779"/>
    <w:rsid w:val="44CD14E0"/>
    <w:rsid w:val="44CD30D2"/>
    <w:rsid w:val="44CF3662"/>
    <w:rsid w:val="44D64ACC"/>
    <w:rsid w:val="44DA0071"/>
    <w:rsid w:val="44DF4BB3"/>
    <w:rsid w:val="44E77C55"/>
    <w:rsid w:val="44F00B6E"/>
    <w:rsid w:val="44F06DC0"/>
    <w:rsid w:val="44F1613B"/>
    <w:rsid w:val="44F20B0B"/>
    <w:rsid w:val="44F260B7"/>
    <w:rsid w:val="44F468B0"/>
    <w:rsid w:val="44F53A87"/>
    <w:rsid w:val="44F83F16"/>
    <w:rsid w:val="44F95E3B"/>
    <w:rsid w:val="44FD46BF"/>
    <w:rsid w:val="4504461A"/>
    <w:rsid w:val="450C7105"/>
    <w:rsid w:val="450D3B65"/>
    <w:rsid w:val="450E3770"/>
    <w:rsid w:val="450F36EA"/>
    <w:rsid w:val="450F655F"/>
    <w:rsid w:val="45132AAF"/>
    <w:rsid w:val="45140D01"/>
    <w:rsid w:val="4521341D"/>
    <w:rsid w:val="45232F00"/>
    <w:rsid w:val="4524170C"/>
    <w:rsid w:val="45266E5C"/>
    <w:rsid w:val="45293CAC"/>
    <w:rsid w:val="45294080"/>
    <w:rsid w:val="452D1DC2"/>
    <w:rsid w:val="452E5F4C"/>
    <w:rsid w:val="453018B3"/>
    <w:rsid w:val="4530540F"/>
    <w:rsid w:val="45352A25"/>
    <w:rsid w:val="45356EC9"/>
    <w:rsid w:val="453B16F6"/>
    <w:rsid w:val="453C4349"/>
    <w:rsid w:val="453E316D"/>
    <w:rsid w:val="453F38A4"/>
    <w:rsid w:val="45440EBA"/>
    <w:rsid w:val="45453A9E"/>
    <w:rsid w:val="45460E2C"/>
    <w:rsid w:val="45482758"/>
    <w:rsid w:val="454964D0"/>
    <w:rsid w:val="454F7859"/>
    <w:rsid w:val="4550160D"/>
    <w:rsid w:val="45513D03"/>
    <w:rsid w:val="45533D84"/>
    <w:rsid w:val="45561319"/>
    <w:rsid w:val="455B31E2"/>
    <w:rsid w:val="45612018"/>
    <w:rsid w:val="45633326"/>
    <w:rsid w:val="456759C0"/>
    <w:rsid w:val="456B28EB"/>
    <w:rsid w:val="4571737B"/>
    <w:rsid w:val="45765517"/>
    <w:rsid w:val="45795008"/>
    <w:rsid w:val="457A12B5"/>
    <w:rsid w:val="45830DCE"/>
    <w:rsid w:val="458357AC"/>
    <w:rsid w:val="45837C34"/>
    <w:rsid w:val="458946E9"/>
    <w:rsid w:val="458A6900"/>
    <w:rsid w:val="45945F39"/>
    <w:rsid w:val="459736E0"/>
    <w:rsid w:val="45A413D8"/>
    <w:rsid w:val="45A47C0E"/>
    <w:rsid w:val="45AD6A5F"/>
    <w:rsid w:val="45B147A1"/>
    <w:rsid w:val="45B20519"/>
    <w:rsid w:val="45B40924"/>
    <w:rsid w:val="45B55C5F"/>
    <w:rsid w:val="45B76CCF"/>
    <w:rsid w:val="45C37F05"/>
    <w:rsid w:val="45CE547E"/>
    <w:rsid w:val="45D264C6"/>
    <w:rsid w:val="45DE130F"/>
    <w:rsid w:val="45E6436A"/>
    <w:rsid w:val="45EA380F"/>
    <w:rsid w:val="45EA7CB3"/>
    <w:rsid w:val="45EC3A2B"/>
    <w:rsid w:val="45EF0E26"/>
    <w:rsid w:val="45F23631"/>
    <w:rsid w:val="45F66658"/>
    <w:rsid w:val="45F722A8"/>
    <w:rsid w:val="45FA2130"/>
    <w:rsid w:val="45FB15D5"/>
    <w:rsid w:val="45FB3C6E"/>
    <w:rsid w:val="45FC3543"/>
    <w:rsid w:val="46020A8A"/>
    <w:rsid w:val="46036B5E"/>
    <w:rsid w:val="46050649"/>
    <w:rsid w:val="460563F2"/>
    <w:rsid w:val="460744D3"/>
    <w:rsid w:val="4609308C"/>
    <w:rsid w:val="460978DA"/>
    <w:rsid w:val="460A3BE6"/>
    <w:rsid w:val="460D5750"/>
    <w:rsid w:val="461D1E37"/>
    <w:rsid w:val="461E015B"/>
    <w:rsid w:val="46266B40"/>
    <w:rsid w:val="46300C30"/>
    <w:rsid w:val="463158E2"/>
    <w:rsid w:val="46333408"/>
    <w:rsid w:val="46360A73"/>
    <w:rsid w:val="463B406B"/>
    <w:rsid w:val="463C75FF"/>
    <w:rsid w:val="463D3FE4"/>
    <w:rsid w:val="463F1DAD"/>
    <w:rsid w:val="463F6DFB"/>
    <w:rsid w:val="46430637"/>
    <w:rsid w:val="46445615"/>
    <w:rsid w:val="464E3D9E"/>
    <w:rsid w:val="46514377"/>
    <w:rsid w:val="465306F3"/>
    <w:rsid w:val="46560EA5"/>
    <w:rsid w:val="46577FD6"/>
    <w:rsid w:val="465826C2"/>
    <w:rsid w:val="465F40C9"/>
    <w:rsid w:val="465F5FAB"/>
    <w:rsid w:val="46672511"/>
    <w:rsid w:val="466E61EE"/>
    <w:rsid w:val="46781BA1"/>
    <w:rsid w:val="46805F22"/>
    <w:rsid w:val="46816EA9"/>
    <w:rsid w:val="4686262F"/>
    <w:rsid w:val="46920261"/>
    <w:rsid w:val="46957384"/>
    <w:rsid w:val="46960A5D"/>
    <w:rsid w:val="4699455C"/>
    <w:rsid w:val="469A0759"/>
    <w:rsid w:val="469C5642"/>
    <w:rsid w:val="46A141FF"/>
    <w:rsid w:val="46A2233C"/>
    <w:rsid w:val="46A464DE"/>
    <w:rsid w:val="46A50AF4"/>
    <w:rsid w:val="46AC6D17"/>
    <w:rsid w:val="46AE6F33"/>
    <w:rsid w:val="46AF05B5"/>
    <w:rsid w:val="46B163B6"/>
    <w:rsid w:val="46BA1434"/>
    <w:rsid w:val="46BE382B"/>
    <w:rsid w:val="46C33649"/>
    <w:rsid w:val="46C91677"/>
    <w:rsid w:val="46D002FB"/>
    <w:rsid w:val="46D46B65"/>
    <w:rsid w:val="46D955A7"/>
    <w:rsid w:val="46DE0983"/>
    <w:rsid w:val="46E110B6"/>
    <w:rsid w:val="46ED4CA2"/>
    <w:rsid w:val="46EE10DD"/>
    <w:rsid w:val="46EE732F"/>
    <w:rsid w:val="46F96400"/>
    <w:rsid w:val="46FA6535"/>
    <w:rsid w:val="46FC37FA"/>
    <w:rsid w:val="46FD57C4"/>
    <w:rsid w:val="46FF153C"/>
    <w:rsid w:val="46FF32EA"/>
    <w:rsid w:val="470646EF"/>
    <w:rsid w:val="47122766"/>
    <w:rsid w:val="47133957"/>
    <w:rsid w:val="47136B4B"/>
    <w:rsid w:val="47170634"/>
    <w:rsid w:val="47196B7A"/>
    <w:rsid w:val="472F09C9"/>
    <w:rsid w:val="473016F6"/>
    <w:rsid w:val="473311E6"/>
    <w:rsid w:val="473C453F"/>
    <w:rsid w:val="473C62ED"/>
    <w:rsid w:val="473D3E13"/>
    <w:rsid w:val="47424E1F"/>
    <w:rsid w:val="47431B68"/>
    <w:rsid w:val="47435EAB"/>
    <w:rsid w:val="474D22A8"/>
    <w:rsid w:val="474E34B2"/>
    <w:rsid w:val="4750664E"/>
    <w:rsid w:val="47512E23"/>
    <w:rsid w:val="475657A3"/>
    <w:rsid w:val="475E44B5"/>
    <w:rsid w:val="47615D53"/>
    <w:rsid w:val="47635D95"/>
    <w:rsid w:val="47661BF6"/>
    <w:rsid w:val="476C240D"/>
    <w:rsid w:val="476D5BAE"/>
    <w:rsid w:val="4771212B"/>
    <w:rsid w:val="4772427A"/>
    <w:rsid w:val="477261B2"/>
    <w:rsid w:val="47762F2C"/>
    <w:rsid w:val="47774483"/>
    <w:rsid w:val="47775577"/>
    <w:rsid w:val="477912EF"/>
    <w:rsid w:val="477B5067"/>
    <w:rsid w:val="477C004C"/>
    <w:rsid w:val="477E267B"/>
    <w:rsid w:val="477F6B14"/>
    <w:rsid w:val="478017FE"/>
    <w:rsid w:val="478060F5"/>
    <w:rsid w:val="47814082"/>
    <w:rsid w:val="47835CCA"/>
    <w:rsid w:val="47863A0C"/>
    <w:rsid w:val="47867568"/>
    <w:rsid w:val="4791488A"/>
    <w:rsid w:val="479E0D55"/>
    <w:rsid w:val="479E3B79"/>
    <w:rsid w:val="479E3E7A"/>
    <w:rsid w:val="47A07E0C"/>
    <w:rsid w:val="47B24801"/>
    <w:rsid w:val="47B2779C"/>
    <w:rsid w:val="47BD582A"/>
    <w:rsid w:val="47C1307B"/>
    <w:rsid w:val="47C232E3"/>
    <w:rsid w:val="47C562E2"/>
    <w:rsid w:val="47CA1B4A"/>
    <w:rsid w:val="47D26C51"/>
    <w:rsid w:val="47D4241A"/>
    <w:rsid w:val="47D44777"/>
    <w:rsid w:val="47D83718"/>
    <w:rsid w:val="47DC187E"/>
    <w:rsid w:val="47DC362C"/>
    <w:rsid w:val="47E32EDF"/>
    <w:rsid w:val="47E6777F"/>
    <w:rsid w:val="47E756FB"/>
    <w:rsid w:val="47ED5839"/>
    <w:rsid w:val="47F16410"/>
    <w:rsid w:val="47F46BC7"/>
    <w:rsid w:val="47F478B2"/>
    <w:rsid w:val="47F6649C"/>
    <w:rsid w:val="47F94A62"/>
    <w:rsid w:val="47FA1247"/>
    <w:rsid w:val="47FD3CFF"/>
    <w:rsid w:val="480908C5"/>
    <w:rsid w:val="480A1DF8"/>
    <w:rsid w:val="480B496B"/>
    <w:rsid w:val="48105E7E"/>
    <w:rsid w:val="48194D10"/>
    <w:rsid w:val="481A708F"/>
    <w:rsid w:val="48253225"/>
    <w:rsid w:val="48290B93"/>
    <w:rsid w:val="48345216"/>
    <w:rsid w:val="48392408"/>
    <w:rsid w:val="483C576F"/>
    <w:rsid w:val="483D7E22"/>
    <w:rsid w:val="484511D1"/>
    <w:rsid w:val="484E7CAF"/>
    <w:rsid w:val="48541414"/>
    <w:rsid w:val="48584BE8"/>
    <w:rsid w:val="485F6737"/>
    <w:rsid w:val="48611985"/>
    <w:rsid w:val="48651873"/>
    <w:rsid w:val="48653621"/>
    <w:rsid w:val="48657AC5"/>
    <w:rsid w:val="48673685"/>
    <w:rsid w:val="486E07DA"/>
    <w:rsid w:val="486E6EB9"/>
    <w:rsid w:val="4870272E"/>
    <w:rsid w:val="4871646A"/>
    <w:rsid w:val="48741138"/>
    <w:rsid w:val="487565D5"/>
    <w:rsid w:val="487756B9"/>
    <w:rsid w:val="487D096B"/>
    <w:rsid w:val="488677EC"/>
    <w:rsid w:val="48895562"/>
    <w:rsid w:val="488C0306"/>
    <w:rsid w:val="488C6E00"/>
    <w:rsid w:val="489345F9"/>
    <w:rsid w:val="48934632"/>
    <w:rsid w:val="48981C49"/>
    <w:rsid w:val="48981F85"/>
    <w:rsid w:val="489B5295"/>
    <w:rsid w:val="489D725F"/>
    <w:rsid w:val="48B17698"/>
    <w:rsid w:val="48B419D1"/>
    <w:rsid w:val="48BA1AEF"/>
    <w:rsid w:val="48BB02CE"/>
    <w:rsid w:val="48BF2D31"/>
    <w:rsid w:val="48C402CA"/>
    <w:rsid w:val="48C60564"/>
    <w:rsid w:val="48C622DE"/>
    <w:rsid w:val="48C91E02"/>
    <w:rsid w:val="48D97F3F"/>
    <w:rsid w:val="48DB1D46"/>
    <w:rsid w:val="48E24204"/>
    <w:rsid w:val="48E7672C"/>
    <w:rsid w:val="48E924A4"/>
    <w:rsid w:val="48E943AC"/>
    <w:rsid w:val="48EE4C0B"/>
    <w:rsid w:val="48F47E90"/>
    <w:rsid w:val="48FA36AD"/>
    <w:rsid w:val="48FD1ECC"/>
    <w:rsid w:val="48FD5A36"/>
    <w:rsid w:val="48FE27D3"/>
    <w:rsid w:val="48FF686B"/>
    <w:rsid w:val="49041F17"/>
    <w:rsid w:val="49066BB2"/>
    <w:rsid w:val="490746D8"/>
    <w:rsid w:val="490D456A"/>
    <w:rsid w:val="4910358D"/>
    <w:rsid w:val="4916491B"/>
    <w:rsid w:val="49172B6D"/>
    <w:rsid w:val="491F1A22"/>
    <w:rsid w:val="492D05E3"/>
    <w:rsid w:val="49304C8C"/>
    <w:rsid w:val="493354CD"/>
    <w:rsid w:val="493556E9"/>
    <w:rsid w:val="4935642B"/>
    <w:rsid w:val="49391AE4"/>
    <w:rsid w:val="493A1A1C"/>
    <w:rsid w:val="493A342E"/>
    <w:rsid w:val="493D0062"/>
    <w:rsid w:val="493D60AB"/>
    <w:rsid w:val="493F0316"/>
    <w:rsid w:val="49415E3C"/>
    <w:rsid w:val="49447DF9"/>
    <w:rsid w:val="49523CF9"/>
    <w:rsid w:val="49557B3A"/>
    <w:rsid w:val="49575660"/>
    <w:rsid w:val="49584F83"/>
    <w:rsid w:val="495A4304"/>
    <w:rsid w:val="495B6EFE"/>
    <w:rsid w:val="495D254A"/>
    <w:rsid w:val="495F7EB3"/>
    <w:rsid w:val="496B7A53"/>
    <w:rsid w:val="496B7ACD"/>
    <w:rsid w:val="496F3DBE"/>
    <w:rsid w:val="496F6A33"/>
    <w:rsid w:val="4970227E"/>
    <w:rsid w:val="4972763E"/>
    <w:rsid w:val="49755AE6"/>
    <w:rsid w:val="497756A4"/>
    <w:rsid w:val="497A327E"/>
    <w:rsid w:val="49813323"/>
    <w:rsid w:val="49824F00"/>
    <w:rsid w:val="49866B04"/>
    <w:rsid w:val="498D1081"/>
    <w:rsid w:val="49930ABA"/>
    <w:rsid w:val="49A12AC4"/>
    <w:rsid w:val="49A1731E"/>
    <w:rsid w:val="49A35BD9"/>
    <w:rsid w:val="49AA3612"/>
    <w:rsid w:val="49AB303D"/>
    <w:rsid w:val="49AB775A"/>
    <w:rsid w:val="49B4660E"/>
    <w:rsid w:val="49B62F38"/>
    <w:rsid w:val="49BA1634"/>
    <w:rsid w:val="49BB5133"/>
    <w:rsid w:val="49BF20CC"/>
    <w:rsid w:val="49C12AD9"/>
    <w:rsid w:val="49C425C9"/>
    <w:rsid w:val="49C64593"/>
    <w:rsid w:val="49C70ABC"/>
    <w:rsid w:val="49CC2EDA"/>
    <w:rsid w:val="49D00DC5"/>
    <w:rsid w:val="49D07B25"/>
    <w:rsid w:val="49D4280C"/>
    <w:rsid w:val="49D83174"/>
    <w:rsid w:val="49DC47B7"/>
    <w:rsid w:val="49DC5B65"/>
    <w:rsid w:val="49DC7715"/>
    <w:rsid w:val="49DD3802"/>
    <w:rsid w:val="49DD4EC9"/>
    <w:rsid w:val="49DE08D0"/>
    <w:rsid w:val="49ED7D72"/>
    <w:rsid w:val="49F25388"/>
    <w:rsid w:val="49FF6D6B"/>
    <w:rsid w:val="4A023139"/>
    <w:rsid w:val="4A083B4E"/>
    <w:rsid w:val="4A0E37ED"/>
    <w:rsid w:val="4A1017B3"/>
    <w:rsid w:val="4A143551"/>
    <w:rsid w:val="4A180CCC"/>
    <w:rsid w:val="4A183041"/>
    <w:rsid w:val="4A285F1D"/>
    <w:rsid w:val="4A2C17E9"/>
    <w:rsid w:val="4A38282A"/>
    <w:rsid w:val="4A3841D4"/>
    <w:rsid w:val="4A407EA2"/>
    <w:rsid w:val="4A424536"/>
    <w:rsid w:val="4A473537"/>
    <w:rsid w:val="4A477482"/>
    <w:rsid w:val="4A59280C"/>
    <w:rsid w:val="4A6022F2"/>
    <w:rsid w:val="4A655B5A"/>
    <w:rsid w:val="4A69389D"/>
    <w:rsid w:val="4A6D4FBB"/>
    <w:rsid w:val="4A6E0EB3"/>
    <w:rsid w:val="4A7B576F"/>
    <w:rsid w:val="4A7D1521"/>
    <w:rsid w:val="4A7D2EA4"/>
    <w:rsid w:val="4A8561FD"/>
    <w:rsid w:val="4A881849"/>
    <w:rsid w:val="4A8835F7"/>
    <w:rsid w:val="4A8F0E29"/>
    <w:rsid w:val="4A934476"/>
    <w:rsid w:val="4A934D16"/>
    <w:rsid w:val="4A957666"/>
    <w:rsid w:val="4A9956E6"/>
    <w:rsid w:val="4A9A24A7"/>
    <w:rsid w:val="4A9F6212"/>
    <w:rsid w:val="4AA25305"/>
    <w:rsid w:val="4AA5701C"/>
    <w:rsid w:val="4AA956FA"/>
    <w:rsid w:val="4AAA17BF"/>
    <w:rsid w:val="4AAA5C63"/>
    <w:rsid w:val="4AAB009E"/>
    <w:rsid w:val="4AAC19DB"/>
    <w:rsid w:val="4AAD33B4"/>
    <w:rsid w:val="4AB27686"/>
    <w:rsid w:val="4AB368C6"/>
    <w:rsid w:val="4AB56AE2"/>
    <w:rsid w:val="4AB62D1C"/>
    <w:rsid w:val="4ABE45CD"/>
    <w:rsid w:val="4ABE4879"/>
    <w:rsid w:val="4AC7411F"/>
    <w:rsid w:val="4AC76815"/>
    <w:rsid w:val="4AC77877"/>
    <w:rsid w:val="4ACC5BD9"/>
    <w:rsid w:val="4ACE3700"/>
    <w:rsid w:val="4ACF1226"/>
    <w:rsid w:val="4ACF7974"/>
    <w:rsid w:val="4AD60806"/>
    <w:rsid w:val="4AD8457E"/>
    <w:rsid w:val="4ADB7B51"/>
    <w:rsid w:val="4ADF76BB"/>
    <w:rsid w:val="4AE44CD1"/>
    <w:rsid w:val="4AE769B4"/>
    <w:rsid w:val="4AEE5B50"/>
    <w:rsid w:val="4AF561A9"/>
    <w:rsid w:val="4AF62C56"/>
    <w:rsid w:val="4AF6533D"/>
    <w:rsid w:val="4AFF54D0"/>
    <w:rsid w:val="4B032DCC"/>
    <w:rsid w:val="4B045373"/>
    <w:rsid w:val="4B0C247A"/>
    <w:rsid w:val="4B122910"/>
    <w:rsid w:val="4B122C3E"/>
    <w:rsid w:val="4B1732F9"/>
    <w:rsid w:val="4B1D01E3"/>
    <w:rsid w:val="4B270773"/>
    <w:rsid w:val="4B276FBA"/>
    <w:rsid w:val="4B2E23F0"/>
    <w:rsid w:val="4B303613"/>
    <w:rsid w:val="4B337A07"/>
    <w:rsid w:val="4B3B7271"/>
    <w:rsid w:val="4B3B78E8"/>
    <w:rsid w:val="4B3F0E3A"/>
    <w:rsid w:val="4B427C4A"/>
    <w:rsid w:val="4B442D81"/>
    <w:rsid w:val="4B4439C2"/>
    <w:rsid w:val="4B49787E"/>
    <w:rsid w:val="4B4C2876"/>
    <w:rsid w:val="4B4D2FD2"/>
    <w:rsid w:val="4B555BCF"/>
    <w:rsid w:val="4B57145D"/>
    <w:rsid w:val="4B571947"/>
    <w:rsid w:val="4B5849AD"/>
    <w:rsid w:val="4B5B5D80"/>
    <w:rsid w:val="4B5E44B3"/>
    <w:rsid w:val="4B667DDC"/>
    <w:rsid w:val="4B667E25"/>
    <w:rsid w:val="4B6E0A3F"/>
    <w:rsid w:val="4B6F6E49"/>
    <w:rsid w:val="4B7661E4"/>
    <w:rsid w:val="4B7C315C"/>
    <w:rsid w:val="4B7F714E"/>
    <w:rsid w:val="4B854E62"/>
    <w:rsid w:val="4B871B00"/>
    <w:rsid w:val="4B985ABC"/>
    <w:rsid w:val="4B9B47BA"/>
    <w:rsid w:val="4B9F32EE"/>
    <w:rsid w:val="4BA3693A"/>
    <w:rsid w:val="4BA40904"/>
    <w:rsid w:val="4BA6533F"/>
    <w:rsid w:val="4BA821A3"/>
    <w:rsid w:val="4BAE42F5"/>
    <w:rsid w:val="4BB01057"/>
    <w:rsid w:val="4BB74194"/>
    <w:rsid w:val="4BB9615E"/>
    <w:rsid w:val="4BBE3F85"/>
    <w:rsid w:val="4BC05C19"/>
    <w:rsid w:val="4BC57A01"/>
    <w:rsid w:val="4BC62629"/>
    <w:rsid w:val="4BCF57F6"/>
    <w:rsid w:val="4BD20FCE"/>
    <w:rsid w:val="4BD36385"/>
    <w:rsid w:val="4BD9785A"/>
    <w:rsid w:val="4BDA4E88"/>
    <w:rsid w:val="4BDE5BC4"/>
    <w:rsid w:val="4BE04640"/>
    <w:rsid w:val="4BE60F1D"/>
    <w:rsid w:val="4BE959FA"/>
    <w:rsid w:val="4BF24B3E"/>
    <w:rsid w:val="4BF54A8F"/>
    <w:rsid w:val="4BF76C86"/>
    <w:rsid w:val="4BFC0CDE"/>
    <w:rsid w:val="4C03562B"/>
    <w:rsid w:val="4C0714FA"/>
    <w:rsid w:val="4C074168"/>
    <w:rsid w:val="4C0A69B9"/>
    <w:rsid w:val="4C0C68AE"/>
    <w:rsid w:val="4C0E5E29"/>
    <w:rsid w:val="4C147838"/>
    <w:rsid w:val="4C15710C"/>
    <w:rsid w:val="4C1972A9"/>
    <w:rsid w:val="4C1A4723"/>
    <w:rsid w:val="4C1B0BC7"/>
    <w:rsid w:val="4C285091"/>
    <w:rsid w:val="4C2922A8"/>
    <w:rsid w:val="4C2A705C"/>
    <w:rsid w:val="4C2D4456"/>
    <w:rsid w:val="4C303963"/>
    <w:rsid w:val="4C373661"/>
    <w:rsid w:val="4C3C006F"/>
    <w:rsid w:val="4C497047"/>
    <w:rsid w:val="4C4A0649"/>
    <w:rsid w:val="4C4B6839"/>
    <w:rsid w:val="4C577725"/>
    <w:rsid w:val="4C5D7BA5"/>
    <w:rsid w:val="4C6568E9"/>
    <w:rsid w:val="4C675291"/>
    <w:rsid w:val="4C6A1586"/>
    <w:rsid w:val="4C743450"/>
    <w:rsid w:val="4C760506"/>
    <w:rsid w:val="4C794BBE"/>
    <w:rsid w:val="4C7E5ECA"/>
    <w:rsid w:val="4C876AA5"/>
    <w:rsid w:val="4C8A5D4C"/>
    <w:rsid w:val="4C8F4784"/>
    <w:rsid w:val="4C9269AF"/>
    <w:rsid w:val="4C9B1D07"/>
    <w:rsid w:val="4CA02E7A"/>
    <w:rsid w:val="4CA3296A"/>
    <w:rsid w:val="4CA358FE"/>
    <w:rsid w:val="4CA6264F"/>
    <w:rsid w:val="4CB4635D"/>
    <w:rsid w:val="4CBD1C7E"/>
    <w:rsid w:val="4CBD3A2C"/>
    <w:rsid w:val="4CC34DBA"/>
    <w:rsid w:val="4CC528E0"/>
    <w:rsid w:val="4CC56D84"/>
    <w:rsid w:val="4CD46FC7"/>
    <w:rsid w:val="4CD6243E"/>
    <w:rsid w:val="4CD7533D"/>
    <w:rsid w:val="4CDD40CE"/>
    <w:rsid w:val="4CDD5E7C"/>
    <w:rsid w:val="4CE115F6"/>
    <w:rsid w:val="4CE23492"/>
    <w:rsid w:val="4CE26996"/>
    <w:rsid w:val="4CE61F7D"/>
    <w:rsid w:val="4CE8558A"/>
    <w:rsid w:val="4CE92A73"/>
    <w:rsid w:val="4CF17B79"/>
    <w:rsid w:val="4CF2031B"/>
    <w:rsid w:val="4CF339E8"/>
    <w:rsid w:val="4CF621E9"/>
    <w:rsid w:val="4CF66F3E"/>
    <w:rsid w:val="4CF85975"/>
    <w:rsid w:val="4D012F73"/>
    <w:rsid w:val="4D045075"/>
    <w:rsid w:val="4D045244"/>
    <w:rsid w:val="4D063625"/>
    <w:rsid w:val="4D072EF9"/>
    <w:rsid w:val="4D0E00FB"/>
    <w:rsid w:val="4D0F75E2"/>
    <w:rsid w:val="4D101E1C"/>
    <w:rsid w:val="4D176606"/>
    <w:rsid w:val="4D187E86"/>
    <w:rsid w:val="4D1F0243"/>
    <w:rsid w:val="4D2505F0"/>
    <w:rsid w:val="4D276850"/>
    <w:rsid w:val="4D297313"/>
    <w:rsid w:val="4D333CEE"/>
    <w:rsid w:val="4D36558C"/>
    <w:rsid w:val="4D3933F8"/>
    <w:rsid w:val="4D3E66D2"/>
    <w:rsid w:val="4D464C59"/>
    <w:rsid w:val="4D4C5FE5"/>
    <w:rsid w:val="4D56034E"/>
    <w:rsid w:val="4D5B5791"/>
    <w:rsid w:val="4D5C6D68"/>
    <w:rsid w:val="4D600328"/>
    <w:rsid w:val="4D6046FD"/>
    <w:rsid w:val="4D6245D3"/>
    <w:rsid w:val="4D634927"/>
    <w:rsid w:val="4D640421"/>
    <w:rsid w:val="4D673998"/>
    <w:rsid w:val="4D697710"/>
    <w:rsid w:val="4D6B16DA"/>
    <w:rsid w:val="4D6B3488"/>
    <w:rsid w:val="4D6E4D26"/>
    <w:rsid w:val="4D7009BD"/>
    <w:rsid w:val="4D716413"/>
    <w:rsid w:val="4D73058E"/>
    <w:rsid w:val="4D74173F"/>
    <w:rsid w:val="4D7F1F2F"/>
    <w:rsid w:val="4D7F6F33"/>
    <w:rsid w:val="4D80790A"/>
    <w:rsid w:val="4D8F627F"/>
    <w:rsid w:val="4D924EB8"/>
    <w:rsid w:val="4D9549A9"/>
    <w:rsid w:val="4D9C3790"/>
    <w:rsid w:val="4D9C6148"/>
    <w:rsid w:val="4D9D5C1C"/>
    <w:rsid w:val="4D9F3DF1"/>
    <w:rsid w:val="4DAC584E"/>
    <w:rsid w:val="4DAD3AA0"/>
    <w:rsid w:val="4DB72B71"/>
    <w:rsid w:val="4DC219A6"/>
    <w:rsid w:val="4DC376C2"/>
    <w:rsid w:val="4DC808DA"/>
    <w:rsid w:val="4DCD5EF0"/>
    <w:rsid w:val="4DD728CB"/>
    <w:rsid w:val="4DDC2416"/>
    <w:rsid w:val="4DE47AEA"/>
    <w:rsid w:val="4DEC4FB0"/>
    <w:rsid w:val="4DF30759"/>
    <w:rsid w:val="4DF72F6D"/>
    <w:rsid w:val="4DF851AA"/>
    <w:rsid w:val="4DFC2A89"/>
    <w:rsid w:val="4DFF3305"/>
    <w:rsid w:val="4E040BF2"/>
    <w:rsid w:val="4E075D8A"/>
    <w:rsid w:val="4E0D29A4"/>
    <w:rsid w:val="4E152B4C"/>
    <w:rsid w:val="4E1709BC"/>
    <w:rsid w:val="4E1D2068"/>
    <w:rsid w:val="4E1E04FA"/>
    <w:rsid w:val="4E255D2C"/>
    <w:rsid w:val="4E265CE0"/>
    <w:rsid w:val="4E297BE2"/>
    <w:rsid w:val="4E2C7775"/>
    <w:rsid w:val="4E304F29"/>
    <w:rsid w:val="4E332173"/>
    <w:rsid w:val="4E3564FB"/>
    <w:rsid w:val="4E3D7740"/>
    <w:rsid w:val="4E3E0B9C"/>
    <w:rsid w:val="4E3E52CD"/>
    <w:rsid w:val="4E430BEA"/>
    <w:rsid w:val="4E4B1CAA"/>
    <w:rsid w:val="4E4C234C"/>
    <w:rsid w:val="4E4D012B"/>
    <w:rsid w:val="4E52289A"/>
    <w:rsid w:val="4E5B049B"/>
    <w:rsid w:val="4E5C54C6"/>
    <w:rsid w:val="4E606D65"/>
    <w:rsid w:val="4E616639"/>
    <w:rsid w:val="4E65467D"/>
    <w:rsid w:val="4E6706FE"/>
    <w:rsid w:val="4E676345"/>
    <w:rsid w:val="4E6A7BE3"/>
    <w:rsid w:val="4E6C395B"/>
    <w:rsid w:val="4E6D3230"/>
    <w:rsid w:val="4E7018F3"/>
    <w:rsid w:val="4E710908"/>
    <w:rsid w:val="4E712D20"/>
    <w:rsid w:val="4E747792"/>
    <w:rsid w:val="4E7B5A76"/>
    <w:rsid w:val="4E8101D1"/>
    <w:rsid w:val="4E821B43"/>
    <w:rsid w:val="4E824F2D"/>
    <w:rsid w:val="4E837EAC"/>
    <w:rsid w:val="4E854A1D"/>
    <w:rsid w:val="4E8642F1"/>
    <w:rsid w:val="4E86609F"/>
    <w:rsid w:val="4E880069"/>
    <w:rsid w:val="4E886829"/>
    <w:rsid w:val="4E896C77"/>
    <w:rsid w:val="4E8A2C67"/>
    <w:rsid w:val="4E8C7B5A"/>
    <w:rsid w:val="4E8D38D2"/>
    <w:rsid w:val="4E9133C2"/>
    <w:rsid w:val="4E9221F4"/>
    <w:rsid w:val="4E944ACF"/>
    <w:rsid w:val="4E9B1B4B"/>
    <w:rsid w:val="4E9E163B"/>
    <w:rsid w:val="4EA12ED9"/>
    <w:rsid w:val="4EA905B1"/>
    <w:rsid w:val="4EA96766"/>
    <w:rsid w:val="4EAB0588"/>
    <w:rsid w:val="4EB34C02"/>
    <w:rsid w:val="4EB4172E"/>
    <w:rsid w:val="4EB61BE4"/>
    <w:rsid w:val="4EB90223"/>
    <w:rsid w:val="4EBE240B"/>
    <w:rsid w:val="4EBE3A8B"/>
    <w:rsid w:val="4EC00FAD"/>
    <w:rsid w:val="4EC158AF"/>
    <w:rsid w:val="4ECF1F8C"/>
    <w:rsid w:val="4ECF5C98"/>
    <w:rsid w:val="4ED10CD7"/>
    <w:rsid w:val="4ED137BE"/>
    <w:rsid w:val="4EDD0DD4"/>
    <w:rsid w:val="4EE11050"/>
    <w:rsid w:val="4EE47996"/>
    <w:rsid w:val="4EE5274F"/>
    <w:rsid w:val="4EE93A7D"/>
    <w:rsid w:val="4EEA2AD2"/>
    <w:rsid w:val="4EF55BBE"/>
    <w:rsid w:val="4EF76049"/>
    <w:rsid w:val="4EFA63EB"/>
    <w:rsid w:val="4F075432"/>
    <w:rsid w:val="4F0B1D85"/>
    <w:rsid w:val="4F0B3174"/>
    <w:rsid w:val="4F0C47F7"/>
    <w:rsid w:val="4F0E67C1"/>
    <w:rsid w:val="4F112F3B"/>
    <w:rsid w:val="4F125C0A"/>
    <w:rsid w:val="4F1D3108"/>
    <w:rsid w:val="4F202067"/>
    <w:rsid w:val="4F2E29BF"/>
    <w:rsid w:val="4F310D54"/>
    <w:rsid w:val="4F3179A6"/>
    <w:rsid w:val="4F361C75"/>
    <w:rsid w:val="4F3B50DC"/>
    <w:rsid w:val="4F4337B1"/>
    <w:rsid w:val="4F455F5A"/>
    <w:rsid w:val="4F457D08"/>
    <w:rsid w:val="4F4847C3"/>
    <w:rsid w:val="4F4E4A9F"/>
    <w:rsid w:val="4F4F2935"/>
    <w:rsid w:val="4F536BBC"/>
    <w:rsid w:val="4F547F09"/>
    <w:rsid w:val="4F563CC4"/>
    <w:rsid w:val="4F5663A8"/>
    <w:rsid w:val="4F566492"/>
    <w:rsid w:val="4F591FFC"/>
    <w:rsid w:val="4F593915"/>
    <w:rsid w:val="4F5A14D6"/>
    <w:rsid w:val="4F5F0DCA"/>
    <w:rsid w:val="4F604FB5"/>
    <w:rsid w:val="4F615D0A"/>
    <w:rsid w:val="4F672375"/>
    <w:rsid w:val="4F6B3C13"/>
    <w:rsid w:val="4F6C798B"/>
    <w:rsid w:val="4F7037D4"/>
    <w:rsid w:val="4F710059"/>
    <w:rsid w:val="4F765DA4"/>
    <w:rsid w:val="4F781E8C"/>
    <w:rsid w:val="4F7B626F"/>
    <w:rsid w:val="4F7D3387"/>
    <w:rsid w:val="4F7E0FBF"/>
    <w:rsid w:val="4F840831"/>
    <w:rsid w:val="4F847B70"/>
    <w:rsid w:val="4F8503F2"/>
    <w:rsid w:val="4F860A4D"/>
    <w:rsid w:val="4F88040E"/>
    <w:rsid w:val="4F8D5C0A"/>
    <w:rsid w:val="4F8F54BF"/>
    <w:rsid w:val="4F9843DC"/>
    <w:rsid w:val="4F9B0E06"/>
    <w:rsid w:val="4F9D5D96"/>
    <w:rsid w:val="4F9F670B"/>
    <w:rsid w:val="4FA709C3"/>
    <w:rsid w:val="4FA9473B"/>
    <w:rsid w:val="4FB01626"/>
    <w:rsid w:val="4FB30EDB"/>
    <w:rsid w:val="4FB40055"/>
    <w:rsid w:val="4FB54E8E"/>
    <w:rsid w:val="4FB8672C"/>
    <w:rsid w:val="4FBB0EBF"/>
    <w:rsid w:val="4FBB7FCB"/>
    <w:rsid w:val="4FBC446F"/>
    <w:rsid w:val="4FBD4567"/>
    <w:rsid w:val="4FBF7ABB"/>
    <w:rsid w:val="4FC1345A"/>
    <w:rsid w:val="4FC62A8C"/>
    <w:rsid w:val="4FC82E13"/>
    <w:rsid w:val="4FC950B7"/>
    <w:rsid w:val="4FD16190"/>
    <w:rsid w:val="4FD33745"/>
    <w:rsid w:val="4FD5108C"/>
    <w:rsid w:val="4FD927CD"/>
    <w:rsid w:val="4FDA2512"/>
    <w:rsid w:val="4FDC241B"/>
    <w:rsid w:val="4FDC60F3"/>
    <w:rsid w:val="4FE20F0D"/>
    <w:rsid w:val="4FE51552"/>
    <w:rsid w:val="4FE90FDC"/>
    <w:rsid w:val="4FF00BAE"/>
    <w:rsid w:val="4FF3023B"/>
    <w:rsid w:val="4FF5172F"/>
    <w:rsid w:val="4FFA238D"/>
    <w:rsid w:val="4FFF25AD"/>
    <w:rsid w:val="50007C3B"/>
    <w:rsid w:val="50035C31"/>
    <w:rsid w:val="500E459E"/>
    <w:rsid w:val="50112E5F"/>
    <w:rsid w:val="50226716"/>
    <w:rsid w:val="502A0ED3"/>
    <w:rsid w:val="502A762A"/>
    <w:rsid w:val="503264DF"/>
    <w:rsid w:val="50375BD1"/>
    <w:rsid w:val="503A35E5"/>
    <w:rsid w:val="50424C37"/>
    <w:rsid w:val="5043249A"/>
    <w:rsid w:val="504464B2"/>
    <w:rsid w:val="50471437"/>
    <w:rsid w:val="504B134F"/>
    <w:rsid w:val="50504C4B"/>
    <w:rsid w:val="505226DD"/>
    <w:rsid w:val="50526B81"/>
    <w:rsid w:val="50531885"/>
    <w:rsid w:val="505446A7"/>
    <w:rsid w:val="50575C57"/>
    <w:rsid w:val="505C355C"/>
    <w:rsid w:val="505D681A"/>
    <w:rsid w:val="505F4DFA"/>
    <w:rsid w:val="50604727"/>
    <w:rsid w:val="506B3126"/>
    <w:rsid w:val="506C6CEF"/>
    <w:rsid w:val="50760AC1"/>
    <w:rsid w:val="507C1E50"/>
    <w:rsid w:val="507E2A95"/>
    <w:rsid w:val="507F5882"/>
    <w:rsid w:val="507F724A"/>
    <w:rsid w:val="50811214"/>
    <w:rsid w:val="50836D3A"/>
    <w:rsid w:val="508414DA"/>
    <w:rsid w:val="50853397"/>
    <w:rsid w:val="5089281D"/>
    <w:rsid w:val="508B3E41"/>
    <w:rsid w:val="50942CF5"/>
    <w:rsid w:val="50955CE8"/>
    <w:rsid w:val="50982EB0"/>
    <w:rsid w:val="509B575B"/>
    <w:rsid w:val="509C6E7C"/>
    <w:rsid w:val="50A76ECD"/>
    <w:rsid w:val="50AC2B50"/>
    <w:rsid w:val="50AC4C0B"/>
    <w:rsid w:val="50AD135C"/>
    <w:rsid w:val="50AF2A75"/>
    <w:rsid w:val="50B4555E"/>
    <w:rsid w:val="50B57922"/>
    <w:rsid w:val="50B9661A"/>
    <w:rsid w:val="50C10F02"/>
    <w:rsid w:val="50C56FEB"/>
    <w:rsid w:val="50CB5FE6"/>
    <w:rsid w:val="50D2381E"/>
    <w:rsid w:val="50D6330E"/>
    <w:rsid w:val="50D7260F"/>
    <w:rsid w:val="50D92DFE"/>
    <w:rsid w:val="50DD0C1D"/>
    <w:rsid w:val="50DF27BA"/>
    <w:rsid w:val="50E05F3B"/>
    <w:rsid w:val="50E72A30"/>
    <w:rsid w:val="50E7376D"/>
    <w:rsid w:val="50ED0658"/>
    <w:rsid w:val="50EE5E24"/>
    <w:rsid w:val="50F76BD6"/>
    <w:rsid w:val="50FD6AED"/>
    <w:rsid w:val="51003AB2"/>
    <w:rsid w:val="51071719"/>
    <w:rsid w:val="51121E6C"/>
    <w:rsid w:val="51172F64"/>
    <w:rsid w:val="51176669"/>
    <w:rsid w:val="51197EE3"/>
    <w:rsid w:val="511B79F7"/>
    <w:rsid w:val="511E1006"/>
    <w:rsid w:val="511E27C8"/>
    <w:rsid w:val="512A18AC"/>
    <w:rsid w:val="51312AEB"/>
    <w:rsid w:val="51334917"/>
    <w:rsid w:val="51336B97"/>
    <w:rsid w:val="51363DAD"/>
    <w:rsid w:val="513F5357"/>
    <w:rsid w:val="514106A6"/>
    <w:rsid w:val="5144296E"/>
    <w:rsid w:val="51466D72"/>
    <w:rsid w:val="514679DD"/>
    <w:rsid w:val="51477D68"/>
    <w:rsid w:val="51494480"/>
    <w:rsid w:val="514A694F"/>
    <w:rsid w:val="514C35D0"/>
    <w:rsid w:val="514D5193"/>
    <w:rsid w:val="514E559A"/>
    <w:rsid w:val="514E7348"/>
    <w:rsid w:val="5156444F"/>
    <w:rsid w:val="51583D23"/>
    <w:rsid w:val="515850A9"/>
    <w:rsid w:val="51586419"/>
    <w:rsid w:val="515F7D14"/>
    <w:rsid w:val="5161780A"/>
    <w:rsid w:val="5162104E"/>
    <w:rsid w:val="51635A39"/>
    <w:rsid w:val="5164007F"/>
    <w:rsid w:val="51654692"/>
    <w:rsid w:val="51656884"/>
    <w:rsid w:val="51673E67"/>
    <w:rsid w:val="51694182"/>
    <w:rsid w:val="51750D79"/>
    <w:rsid w:val="51761AF7"/>
    <w:rsid w:val="517D2FBF"/>
    <w:rsid w:val="517E06ED"/>
    <w:rsid w:val="51850890"/>
    <w:rsid w:val="518A40F8"/>
    <w:rsid w:val="519105C3"/>
    <w:rsid w:val="519136D9"/>
    <w:rsid w:val="51931C00"/>
    <w:rsid w:val="51945A34"/>
    <w:rsid w:val="51957266"/>
    <w:rsid w:val="51960813"/>
    <w:rsid w:val="5196484B"/>
    <w:rsid w:val="519F04C0"/>
    <w:rsid w:val="51A004DC"/>
    <w:rsid w:val="51A11C29"/>
    <w:rsid w:val="51A13FEC"/>
    <w:rsid w:val="51A258E6"/>
    <w:rsid w:val="51A50323"/>
    <w:rsid w:val="51A72EFC"/>
    <w:rsid w:val="51B43D9D"/>
    <w:rsid w:val="51B82A14"/>
    <w:rsid w:val="51B86EB8"/>
    <w:rsid w:val="51BF0246"/>
    <w:rsid w:val="51C55131"/>
    <w:rsid w:val="51C63383"/>
    <w:rsid w:val="51D05FAF"/>
    <w:rsid w:val="51D27F79"/>
    <w:rsid w:val="51DD06CC"/>
    <w:rsid w:val="51DF4444"/>
    <w:rsid w:val="51E23F34"/>
    <w:rsid w:val="51E52A95"/>
    <w:rsid w:val="51E8469C"/>
    <w:rsid w:val="51EE6435"/>
    <w:rsid w:val="51EF01B4"/>
    <w:rsid w:val="51F15F45"/>
    <w:rsid w:val="51F223CA"/>
    <w:rsid w:val="51F41CEE"/>
    <w:rsid w:val="51F57454"/>
    <w:rsid w:val="51F70702"/>
    <w:rsid w:val="52001E5A"/>
    <w:rsid w:val="520112D2"/>
    <w:rsid w:val="520143BB"/>
    <w:rsid w:val="52020133"/>
    <w:rsid w:val="52037230"/>
    <w:rsid w:val="520914C1"/>
    <w:rsid w:val="52102850"/>
    <w:rsid w:val="52133627"/>
    <w:rsid w:val="521340EE"/>
    <w:rsid w:val="521C7446"/>
    <w:rsid w:val="521D6EBE"/>
    <w:rsid w:val="521E31BF"/>
    <w:rsid w:val="522A3170"/>
    <w:rsid w:val="522D234D"/>
    <w:rsid w:val="522E2CD6"/>
    <w:rsid w:val="522F1F58"/>
    <w:rsid w:val="52311B5E"/>
    <w:rsid w:val="5233317E"/>
    <w:rsid w:val="52391DA6"/>
    <w:rsid w:val="523A073B"/>
    <w:rsid w:val="523C53F3"/>
    <w:rsid w:val="52410C5B"/>
    <w:rsid w:val="52462715"/>
    <w:rsid w:val="52484FC7"/>
    <w:rsid w:val="52500E9E"/>
    <w:rsid w:val="52562176"/>
    <w:rsid w:val="525938FE"/>
    <w:rsid w:val="52595FA5"/>
    <w:rsid w:val="526046AF"/>
    <w:rsid w:val="52687A97"/>
    <w:rsid w:val="526D1A50"/>
    <w:rsid w:val="52790217"/>
    <w:rsid w:val="5279269C"/>
    <w:rsid w:val="527A4F03"/>
    <w:rsid w:val="527C6137"/>
    <w:rsid w:val="52813301"/>
    <w:rsid w:val="5281357C"/>
    <w:rsid w:val="5281700A"/>
    <w:rsid w:val="528374C6"/>
    <w:rsid w:val="52876E6E"/>
    <w:rsid w:val="528A0854"/>
    <w:rsid w:val="528D20F2"/>
    <w:rsid w:val="52976ACD"/>
    <w:rsid w:val="52990BEE"/>
    <w:rsid w:val="529E7E5B"/>
    <w:rsid w:val="52A1363B"/>
    <w:rsid w:val="52A27877"/>
    <w:rsid w:val="52AC6DD3"/>
    <w:rsid w:val="52AD2165"/>
    <w:rsid w:val="52B15DE1"/>
    <w:rsid w:val="52B256B5"/>
    <w:rsid w:val="52B3638F"/>
    <w:rsid w:val="52BD71C1"/>
    <w:rsid w:val="52C04C99"/>
    <w:rsid w:val="52C5363A"/>
    <w:rsid w:val="52C857A4"/>
    <w:rsid w:val="52C93226"/>
    <w:rsid w:val="52CA000B"/>
    <w:rsid w:val="52CA1025"/>
    <w:rsid w:val="52CC2C1B"/>
    <w:rsid w:val="52CD2D42"/>
    <w:rsid w:val="52CE6B45"/>
    <w:rsid w:val="52D7511B"/>
    <w:rsid w:val="52E361B6"/>
    <w:rsid w:val="52E71802"/>
    <w:rsid w:val="52E8721E"/>
    <w:rsid w:val="52E87329"/>
    <w:rsid w:val="52ED493F"/>
    <w:rsid w:val="52EE53F4"/>
    <w:rsid w:val="52EE6E2D"/>
    <w:rsid w:val="52F43F1F"/>
    <w:rsid w:val="52F757BE"/>
    <w:rsid w:val="52F92DAD"/>
    <w:rsid w:val="52FA582F"/>
    <w:rsid w:val="52FB52AE"/>
    <w:rsid w:val="53034162"/>
    <w:rsid w:val="530F2B07"/>
    <w:rsid w:val="530F4A46"/>
    <w:rsid w:val="530F6FAB"/>
    <w:rsid w:val="53133071"/>
    <w:rsid w:val="53171558"/>
    <w:rsid w:val="53195427"/>
    <w:rsid w:val="531B5950"/>
    <w:rsid w:val="53220A8C"/>
    <w:rsid w:val="53242298"/>
    <w:rsid w:val="532A5B93"/>
    <w:rsid w:val="532A5B97"/>
    <w:rsid w:val="532C190B"/>
    <w:rsid w:val="532D0AD5"/>
    <w:rsid w:val="532D5872"/>
    <w:rsid w:val="532F6D06"/>
    <w:rsid w:val="533826E3"/>
    <w:rsid w:val="533D7674"/>
    <w:rsid w:val="53442EF0"/>
    <w:rsid w:val="534C3D5B"/>
    <w:rsid w:val="534C78B7"/>
    <w:rsid w:val="534E1882"/>
    <w:rsid w:val="534E1DCB"/>
    <w:rsid w:val="534F55FA"/>
    <w:rsid w:val="535F699F"/>
    <w:rsid w:val="5361059A"/>
    <w:rsid w:val="5364313E"/>
    <w:rsid w:val="53682217"/>
    <w:rsid w:val="536E26BF"/>
    <w:rsid w:val="537806AC"/>
    <w:rsid w:val="53791E73"/>
    <w:rsid w:val="537B2458"/>
    <w:rsid w:val="537F34B4"/>
    <w:rsid w:val="53804909"/>
    <w:rsid w:val="538057B3"/>
    <w:rsid w:val="53837051"/>
    <w:rsid w:val="53894668"/>
    <w:rsid w:val="538C01D0"/>
    <w:rsid w:val="53922369"/>
    <w:rsid w:val="53963229"/>
    <w:rsid w:val="5399037B"/>
    <w:rsid w:val="539B23CA"/>
    <w:rsid w:val="53A033D1"/>
    <w:rsid w:val="53A039CC"/>
    <w:rsid w:val="53A1505A"/>
    <w:rsid w:val="53A2397B"/>
    <w:rsid w:val="53A24A97"/>
    <w:rsid w:val="53A616BE"/>
    <w:rsid w:val="53AA01F1"/>
    <w:rsid w:val="53AA71A3"/>
    <w:rsid w:val="53B10062"/>
    <w:rsid w:val="53B27AA2"/>
    <w:rsid w:val="53B8319F"/>
    <w:rsid w:val="53D12681"/>
    <w:rsid w:val="53D33B35"/>
    <w:rsid w:val="53D737B0"/>
    <w:rsid w:val="53DA3115"/>
    <w:rsid w:val="53DE2A29"/>
    <w:rsid w:val="53E45D42"/>
    <w:rsid w:val="53E74C9C"/>
    <w:rsid w:val="53E775E0"/>
    <w:rsid w:val="53F35F85"/>
    <w:rsid w:val="53F601EF"/>
    <w:rsid w:val="53F64CA6"/>
    <w:rsid w:val="53F73CC7"/>
    <w:rsid w:val="53F93EFB"/>
    <w:rsid w:val="53FA4583"/>
    <w:rsid w:val="54041FCB"/>
    <w:rsid w:val="54063E08"/>
    <w:rsid w:val="540C7804"/>
    <w:rsid w:val="541303D5"/>
    <w:rsid w:val="54132B22"/>
    <w:rsid w:val="541819E6"/>
    <w:rsid w:val="541C1980"/>
    <w:rsid w:val="541F321E"/>
    <w:rsid w:val="54201B14"/>
    <w:rsid w:val="54212AF2"/>
    <w:rsid w:val="54231C9F"/>
    <w:rsid w:val="54240834"/>
    <w:rsid w:val="542E62D4"/>
    <w:rsid w:val="542F4486"/>
    <w:rsid w:val="54303FE8"/>
    <w:rsid w:val="543214CE"/>
    <w:rsid w:val="543319E0"/>
    <w:rsid w:val="543437E8"/>
    <w:rsid w:val="5438608E"/>
    <w:rsid w:val="543D36A4"/>
    <w:rsid w:val="54414F42"/>
    <w:rsid w:val="54415EA5"/>
    <w:rsid w:val="54420CBA"/>
    <w:rsid w:val="54426F70"/>
    <w:rsid w:val="544D2806"/>
    <w:rsid w:val="544D38E7"/>
    <w:rsid w:val="5455279C"/>
    <w:rsid w:val="545A7676"/>
    <w:rsid w:val="545E78A1"/>
    <w:rsid w:val="54613364"/>
    <w:rsid w:val="54617393"/>
    <w:rsid w:val="54640C31"/>
    <w:rsid w:val="546B2A56"/>
    <w:rsid w:val="546D681E"/>
    <w:rsid w:val="546E7D01"/>
    <w:rsid w:val="5473217B"/>
    <w:rsid w:val="54763C63"/>
    <w:rsid w:val="547D6032"/>
    <w:rsid w:val="54800463"/>
    <w:rsid w:val="54834C53"/>
    <w:rsid w:val="548A5A88"/>
    <w:rsid w:val="548E3F00"/>
    <w:rsid w:val="54901A26"/>
    <w:rsid w:val="5490320D"/>
    <w:rsid w:val="54994D7E"/>
    <w:rsid w:val="54AA68BC"/>
    <w:rsid w:val="54AB7831"/>
    <w:rsid w:val="54AC059B"/>
    <w:rsid w:val="54AE7DA8"/>
    <w:rsid w:val="54B05864"/>
    <w:rsid w:val="54B12C86"/>
    <w:rsid w:val="54B4145C"/>
    <w:rsid w:val="54B41BB8"/>
    <w:rsid w:val="54B971CF"/>
    <w:rsid w:val="54BC01B5"/>
    <w:rsid w:val="54BC58AE"/>
    <w:rsid w:val="54BC5A8C"/>
    <w:rsid w:val="54C0055D"/>
    <w:rsid w:val="54C811C0"/>
    <w:rsid w:val="54C95E27"/>
    <w:rsid w:val="54CB1E5F"/>
    <w:rsid w:val="54CE76C7"/>
    <w:rsid w:val="54D758A7"/>
    <w:rsid w:val="54DB38F1"/>
    <w:rsid w:val="54DC6DCB"/>
    <w:rsid w:val="54DE4E87"/>
    <w:rsid w:val="54E81862"/>
    <w:rsid w:val="54EB1352"/>
    <w:rsid w:val="54ED4648"/>
    <w:rsid w:val="54EE00F9"/>
    <w:rsid w:val="54EF243C"/>
    <w:rsid w:val="54F3536D"/>
    <w:rsid w:val="54F40207"/>
    <w:rsid w:val="54F56D88"/>
    <w:rsid w:val="54F73313"/>
    <w:rsid w:val="54F80955"/>
    <w:rsid w:val="55006BAB"/>
    <w:rsid w:val="55055F70"/>
    <w:rsid w:val="550B72FE"/>
    <w:rsid w:val="5512068D"/>
    <w:rsid w:val="551676A0"/>
    <w:rsid w:val="551B5793"/>
    <w:rsid w:val="551C0241"/>
    <w:rsid w:val="551C3FF5"/>
    <w:rsid w:val="551E34D6"/>
    <w:rsid w:val="55211504"/>
    <w:rsid w:val="552842FC"/>
    <w:rsid w:val="552A59D6"/>
    <w:rsid w:val="552D54C7"/>
    <w:rsid w:val="55320D2F"/>
    <w:rsid w:val="55322ADD"/>
    <w:rsid w:val="553700F3"/>
    <w:rsid w:val="553A3FE2"/>
    <w:rsid w:val="553D1BAE"/>
    <w:rsid w:val="553E76D4"/>
    <w:rsid w:val="553F48A4"/>
    <w:rsid w:val="5544756C"/>
    <w:rsid w:val="55461D41"/>
    <w:rsid w:val="55491737"/>
    <w:rsid w:val="554B66EB"/>
    <w:rsid w:val="554D7917"/>
    <w:rsid w:val="555170A7"/>
    <w:rsid w:val="5555355C"/>
    <w:rsid w:val="55592760"/>
    <w:rsid w:val="555A471D"/>
    <w:rsid w:val="555B2034"/>
    <w:rsid w:val="555C2504"/>
    <w:rsid w:val="555D3BAE"/>
    <w:rsid w:val="555E38D2"/>
    <w:rsid w:val="5562080B"/>
    <w:rsid w:val="55631913"/>
    <w:rsid w:val="55632765"/>
    <w:rsid w:val="55637E57"/>
    <w:rsid w:val="556A04C9"/>
    <w:rsid w:val="556D17E3"/>
    <w:rsid w:val="55746AE5"/>
    <w:rsid w:val="55784C82"/>
    <w:rsid w:val="55784F95"/>
    <w:rsid w:val="55791863"/>
    <w:rsid w:val="5585579E"/>
    <w:rsid w:val="55860432"/>
    <w:rsid w:val="5587536D"/>
    <w:rsid w:val="558941D6"/>
    <w:rsid w:val="558A2919"/>
    <w:rsid w:val="55932C65"/>
    <w:rsid w:val="559536E9"/>
    <w:rsid w:val="55953912"/>
    <w:rsid w:val="559A1A81"/>
    <w:rsid w:val="559B174B"/>
    <w:rsid w:val="559B4B26"/>
    <w:rsid w:val="559D43FA"/>
    <w:rsid w:val="559F63DD"/>
    <w:rsid w:val="55A10240"/>
    <w:rsid w:val="55A35789"/>
    <w:rsid w:val="55A90FF1"/>
    <w:rsid w:val="55B635DF"/>
    <w:rsid w:val="55B94FAC"/>
    <w:rsid w:val="55CE0CF4"/>
    <w:rsid w:val="55D122F6"/>
    <w:rsid w:val="55D1679A"/>
    <w:rsid w:val="55D64FDB"/>
    <w:rsid w:val="55DF5B42"/>
    <w:rsid w:val="55E44FBB"/>
    <w:rsid w:val="55E55DA1"/>
    <w:rsid w:val="55E85806"/>
    <w:rsid w:val="55E934B9"/>
    <w:rsid w:val="55EA3B6A"/>
    <w:rsid w:val="5604091D"/>
    <w:rsid w:val="56051FA0"/>
    <w:rsid w:val="56073F6A"/>
    <w:rsid w:val="56101070"/>
    <w:rsid w:val="5610122D"/>
    <w:rsid w:val="56150435"/>
    <w:rsid w:val="56150744"/>
    <w:rsid w:val="561641AD"/>
    <w:rsid w:val="56173B11"/>
    <w:rsid w:val="561B44F6"/>
    <w:rsid w:val="561D003B"/>
    <w:rsid w:val="5622699F"/>
    <w:rsid w:val="56250A5B"/>
    <w:rsid w:val="56262642"/>
    <w:rsid w:val="56264664"/>
    <w:rsid w:val="56274E3D"/>
    <w:rsid w:val="562C7546"/>
    <w:rsid w:val="562E7748"/>
    <w:rsid w:val="563034C0"/>
    <w:rsid w:val="5630526E"/>
    <w:rsid w:val="563167DC"/>
    <w:rsid w:val="56332E4C"/>
    <w:rsid w:val="563919A9"/>
    <w:rsid w:val="5642399D"/>
    <w:rsid w:val="56430B29"/>
    <w:rsid w:val="564639CC"/>
    <w:rsid w:val="56486A5C"/>
    <w:rsid w:val="564B0C07"/>
    <w:rsid w:val="56584CC4"/>
    <w:rsid w:val="56595624"/>
    <w:rsid w:val="565D6FBA"/>
    <w:rsid w:val="565E452F"/>
    <w:rsid w:val="565E627F"/>
    <w:rsid w:val="565F3DA6"/>
    <w:rsid w:val="56690780"/>
    <w:rsid w:val="566B62A7"/>
    <w:rsid w:val="566F00F0"/>
    <w:rsid w:val="567064A9"/>
    <w:rsid w:val="567540C3"/>
    <w:rsid w:val="567710EF"/>
    <w:rsid w:val="56786C15"/>
    <w:rsid w:val="567A0BDF"/>
    <w:rsid w:val="567D2646"/>
    <w:rsid w:val="567E79B3"/>
    <w:rsid w:val="56812CE0"/>
    <w:rsid w:val="568659D9"/>
    <w:rsid w:val="56867584"/>
    <w:rsid w:val="56893385"/>
    <w:rsid w:val="569448C3"/>
    <w:rsid w:val="5695208E"/>
    <w:rsid w:val="569E48CE"/>
    <w:rsid w:val="56A33C92"/>
    <w:rsid w:val="56A63783"/>
    <w:rsid w:val="56A8574D"/>
    <w:rsid w:val="56A93273"/>
    <w:rsid w:val="56AB7693"/>
    <w:rsid w:val="56AC7EA5"/>
    <w:rsid w:val="56AD0E32"/>
    <w:rsid w:val="56AD7BCE"/>
    <w:rsid w:val="56B0015D"/>
    <w:rsid w:val="56B22A9C"/>
    <w:rsid w:val="56B23ED5"/>
    <w:rsid w:val="56B720D1"/>
    <w:rsid w:val="56BA003B"/>
    <w:rsid w:val="56BE3DDB"/>
    <w:rsid w:val="56C8194B"/>
    <w:rsid w:val="56C87B9D"/>
    <w:rsid w:val="56D402F0"/>
    <w:rsid w:val="56D63B63"/>
    <w:rsid w:val="56D92565"/>
    <w:rsid w:val="56D927BA"/>
    <w:rsid w:val="56DB39A2"/>
    <w:rsid w:val="56DF6C95"/>
    <w:rsid w:val="56E97ECD"/>
    <w:rsid w:val="56EA7B13"/>
    <w:rsid w:val="56EB66A1"/>
    <w:rsid w:val="56F77B68"/>
    <w:rsid w:val="56FA215A"/>
    <w:rsid w:val="56FC15F5"/>
    <w:rsid w:val="570109B9"/>
    <w:rsid w:val="57014E17"/>
    <w:rsid w:val="57032983"/>
    <w:rsid w:val="57064221"/>
    <w:rsid w:val="570D3802"/>
    <w:rsid w:val="570D79BB"/>
    <w:rsid w:val="570F1328"/>
    <w:rsid w:val="57151AD2"/>
    <w:rsid w:val="57154464"/>
    <w:rsid w:val="57160908"/>
    <w:rsid w:val="571B7CCD"/>
    <w:rsid w:val="57201787"/>
    <w:rsid w:val="572A6162"/>
    <w:rsid w:val="572C4547"/>
    <w:rsid w:val="572F572F"/>
    <w:rsid w:val="57350E76"/>
    <w:rsid w:val="5737087F"/>
    <w:rsid w:val="57392849"/>
    <w:rsid w:val="573A3699"/>
    <w:rsid w:val="573B7326"/>
    <w:rsid w:val="57405985"/>
    <w:rsid w:val="57430FD1"/>
    <w:rsid w:val="574439FA"/>
    <w:rsid w:val="57460AC2"/>
    <w:rsid w:val="57476D14"/>
    <w:rsid w:val="57527466"/>
    <w:rsid w:val="57550E25"/>
    <w:rsid w:val="5755300C"/>
    <w:rsid w:val="575817A3"/>
    <w:rsid w:val="575925A3"/>
    <w:rsid w:val="57615E74"/>
    <w:rsid w:val="57631674"/>
    <w:rsid w:val="5765502F"/>
    <w:rsid w:val="5767371F"/>
    <w:rsid w:val="57685FF3"/>
    <w:rsid w:val="576D17D3"/>
    <w:rsid w:val="577218B7"/>
    <w:rsid w:val="577479D1"/>
    <w:rsid w:val="577A5939"/>
    <w:rsid w:val="577B076B"/>
    <w:rsid w:val="577B3F4D"/>
    <w:rsid w:val="57835872"/>
    <w:rsid w:val="578440FE"/>
    <w:rsid w:val="57875362"/>
    <w:rsid w:val="57877110"/>
    <w:rsid w:val="578810DA"/>
    <w:rsid w:val="578D66F1"/>
    <w:rsid w:val="57914E98"/>
    <w:rsid w:val="57961A49"/>
    <w:rsid w:val="579B4127"/>
    <w:rsid w:val="57A15574"/>
    <w:rsid w:val="57A23F4A"/>
    <w:rsid w:val="57A37CC2"/>
    <w:rsid w:val="57A92CFC"/>
    <w:rsid w:val="57B02E02"/>
    <w:rsid w:val="57B123DF"/>
    <w:rsid w:val="57B1418D"/>
    <w:rsid w:val="57B156C2"/>
    <w:rsid w:val="57B17F9D"/>
    <w:rsid w:val="57B72A76"/>
    <w:rsid w:val="57B90EBE"/>
    <w:rsid w:val="57C17A06"/>
    <w:rsid w:val="57C3426C"/>
    <w:rsid w:val="57C41601"/>
    <w:rsid w:val="57C57C38"/>
    <w:rsid w:val="57CE1F93"/>
    <w:rsid w:val="57D165DD"/>
    <w:rsid w:val="57D63BF4"/>
    <w:rsid w:val="57D90EF2"/>
    <w:rsid w:val="57EC3417"/>
    <w:rsid w:val="57EF2F07"/>
    <w:rsid w:val="57EF5513"/>
    <w:rsid w:val="57F329F7"/>
    <w:rsid w:val="57F57279"/>
    <w:rsid w:val="57FB35CA"/>
    <w:rsid w:val="57FB7AFE"/>
    <w:rsid w:val="58005114"/>
    <w:rsid w:val="580469B3"/>
    <w:rsid w:val="5805272B"/>
    <w:rsid w:val="58067E8B"/>
    <w:rsid w:val="5807311C"/>
    <w:rsid w:val="580764A3"/>
    <w:rsid w:val="580C3AB9"/>
    <w:rsid w:val="580D428E"/>
    <w:rsid w:val="581035A9"/>
    <w:rsid w:val="5810704D"/>
    <w:rsid w:val="58136572"/>
    <w:rsid w:val="58163358"/>
    <w:rsid w:val="58166E66"/>
    <w:rsid w:val="58175B83"/>
    <w:rsid w:val="581D5CC6"/>
    <w:rsid w:val="5822359E"/>
    <w:rsid w:val="582634FC"/>
    <w:rsid w:val="58313520"/>
    <w:rsid w:val="58321201"/>
    <w:rsid w:val="58354DBE"/>
    <w:rsid w:val="58382B00"/>
    <w:rsid w:val="583C439E"/>
    <w:rsid w:val="583F5C3D"/>
    <w:rsid w:val="584235F1"/>
    <w:rsid w:val="58433087"/>
    <w:rsid w:val="58453ECA"/>
    <w:rsid w:val="584A50B0"/>
    <w:rsid w:val="58555460"/>
    <w:rsid w:val="58561B36"/>
    <w:rsid w:val="585A206F"/>
    <w:rsid w:val="585C4620"/>
    <w:rsid w:val="585F569D"/>
    <w:rsid w:val="586804D9"/>
    <w:rsid w:val="58680CEE"/>
    <w:rsid w:val="586B358B"/>
    <w:rsid w:val="586F74D3"/>
    <w:rsid w:val="587A4EC7"/>
    <w:rsid w:val="587B479B"/>
    <w:rsid w:val="587C29ED"/>
    <w:rsid w:val="588153B3"/>
    <w:rsid w:val="588743D1"/>
    <w:rsid w:val="5887701A"/>
    <w:rsid w:val="58890473"/>
    <w:rsid w:val="588C6409"/>
    <w:rsid w:val="588C69A8"/>
    <w:rsid w:val="58913FBE"/>
    <w:rsid w:val="589D2963"/>
    <w:rsid w:val="58A14BB1"/>
    <w:rsid w:val="58A40196"/>
    <w:rsid w:val="58A81A34"/>
    <w:rsid w:val="58A957AC"/>
    <w:rsid w:val="58A9755A"/>
    <w:rsid w:val="58AB3744"/>
    <w:rsid w:val="58AB6E2E"/>
    <w:rsid w:val="58B6612E"/>
    <w:rsid w:val="58B717F7"/>
    <w:rsid w:val="58B73A25"/>
    <w:rsid w:val="58BA1A31"/>
    <w:rsid w:val="58C3686E"/>
    <w:rsid w:val="58C41652"/>
    <w:rsid w:val="58C425E6"/>
    <w:rsid w:val="58C46142"/>
    <w:rsid w:val="58C72BED"/>
    <w:rsid w:val="58C817A8"/>
    <w:rsid w:val="58CB127E"/>
    <w:rsid w:val="58CD3249"/>
    <w:rsid w:val="58CE0D6F"/>
    <w:rsid w:val="58CF1D64"/>
    <w:rsid w:val="58D00F8B"/>
    <w:rsid w:val="58D3320F"/>
    <w:rsid w:val="58D34DAC"/>
    <w:rsid w:val="58D66097"/>
    <w:rsid w:val="58D72319"/>
    <w:rsid w:val="58D740C7"/>
    <w:rsid w:val="58D81BED"/>
    <w:rsid w:val="58D95C71"/>
    <w:rsid w:val="58DC16DE"/>
    <w:rsid w:val="58DD6C39"/>
    <w:rsid w:val="58DE357D"/>
    <w:rsid w:val="58DF4954"/>
    <w:rsid w:val="58E80082"/>
    <w:rsid w:val="58E95BA9"/>
    <w:rsid w:val="58EC5DB5"/>
    <w:rsid w:val="58ED38EB"/>
    <w:rsid w:val="58F20F16"/>
    <w:rsid w:val="58F670FB"/>
    <w:rsid w:val="58FA211B"/>
    <w:rsid w:val="58FB5696"/>
    <w:rsid w:val="58FE3D08"/>
    <w:rsid w:val="58FF53CC"/>
    <w:rsid w:val="59075CA5"/>
    <w:rsid w:val="59091DA7"/>
    <w:rsid w:val="590D5D3B"/>
    <w:rsid w:val="59103135"/>
    <w:rsid w:val="591250FF"/>
    <w:rsid w:val="5919143F"/>
    <w:rsid w:val="591F781C"/>
    <w:rsid w:val="59215342"/>
    <w:rsid w:val="59260BAB"/>
    <w:rsid w:val="592866D1"/>
    <w:rsid w:val="592C3AB7"/>
    <w:rsid w:val="59305585"/>
    <w:rsid w:val="5931487C"/>
    <w:rsid w:val="59345076"/>
    <w:rsid w:val="59375A1D"/>
    <w:rsid w:val="59397B35"/>
    <w:rsid w:val="593C03CE"/>
    <w:rsid w:val="59401C6C"/>
    <w:rsid w:val="59411981"/>
    <w:rsid w:val="594D25DB"/>
    <w:rsid w:val="594D6B00"/>
    <w:rsid w:val="594E1640"/>
    <w:rsid w:val="594F6875"/>
    <w:rsid w:val="59505C28"/>
    <w:rsid w:val="59544B9F"/>
    <w:rsid w:val="595C637A"/>
    <w:rsid w:val="59627F23"/>
    <w:rsid w:val="59640F83"/>
    <w:rsid w:val="597164D8"/>
    <w:rsid w:val="59720162"/>
    <w:rsid w:val="59726015"/>
    <w:rsid w:val="59736492"/>
    <w:rsid w:val="5975743C"/>
    <w:rsid w:val="59777658"/>
    <w:rsid w:val="59786426"/>
    <w:rsid w:val="59824352"/>
    <w:rsid w:val="59884C88"/>
    <w:rsid w:val="598C4EB2"/>
    <w:rsid w:val="598D4F16"/>
    <w:rsid w:val="598E56A4"/>
    <w:rsid w:val="59910118"/>
    <w:rsid w:val="59914276"/>
    <w:rsid w:val="599766C2"/>
    <w:rsid w:val="59995821"/>
    <w:rsid w:val="599E4BE5"/>
    <w:rsid w:val="59A5631F"/>
    <w:rsid w:val="59AA17DC"/>
    <w:rsid w:val="59AE3540"/>
    <w:rsid w:val="59AF2CEA"/>
    <w:rsid w:val="59B21A6C"/>
    <w:rsid w:val="59B368E2"/>
    <w:rsid w:val="59B44833"/>
    <w:rsid w:val="59B61F2F"/>
    <w:rsid w:val="59C0439F"/>
    <w:rsid w:val="59C23B4C"/>
    <w:rsid w:val="59CB10C1"/>
    <w:rsid w:val="59CC667E"/>
    <w:rsid w:val="59CF69EF"/>
    <w:rsid w:val="59D40607"/>
    <w:rsid w:val="59D423B5"/>
    <w:rsid w:val="59E44CEE"/>
    <w:rsid w:val="59EA1BD8"/>
    <w:rsid w:val="59EC4579"/>
    <w:rsid w:val="59F13BE9"/>
    <w:rsid w:val="59FA62BF"/>
    <w:rsid w:val="59FF3F68"/>
    <w:rsid w:val="59FF6B32"/>
    <w:rsid w:val="5A00188F"/>
    <w:rsid w:val="5A032C9A"/>
    <w:rsid w:val="5A04694A"/>
    <w:rsid w:val="5A0507C0"/>
    <w:rsid w:val="5A07260F"/>
    <w:rsid w:val="5A0A227A"/>
    <w:rsid w:val="5A0D440D"/>
    <w:rsid w:val="5A105AE3"/>
    <w:rsid w:val="5A1629CD"/>
    <w:rsid w:val="5A1703F0"/>
    <w:rsid w:val="5A1A070F"/>
    <w:rsid w:val="5A1E5623"/>
    <w:rsid w:val="5A2303EE"/>
    <w:rsid w:val="5A275AD7"/>
    <w:rsid w:val="5A2A57A8"/>
    <w:rsid w:val="5A2B7871"/>
    <w:rsid w:val="5A2C39A3"/>
    <w:rsid w:val="5A2F2108"/>
    <w:rsid w:val="5A3410A5"/>
    <w:rsid w:val="5A3D61AC"/>
    <w:rsid w:val="5A3D7F5A"/>
    <w:rsid w:val="5A3F1F24"/>
    <w:rsid w:val="5A407A4A"/>
    <w:rsid w:val="5A421A14"/>
    <w:rsid w:val="5A47527D"/>
    <w:rsid w:val="5A4D1956"/>
    <w:rsid w:val="5A4F5EDF"/>
    <w:rsid w:val="5A53670D"/>
    <w:rsid w:val="5A543E79"/>
    <w:rsid w:val="5A544B0C"/>
    <w:rsid w:val="5A557999"/>
    <w:rsid w:val="5A56733A"/>
    <w:rsid w:val="5A627366"/>
    <w:rsid w:val="5A627AC2"/>
    <w:rsid w:val="5A64198B"/>
    <w:rsid w:val="5A647BDD"/>
    <w:rsid w:val="5A680630"/>
    <w:rsid w:val="5A695F20"/>
    <w:rsid w:val="5A6B0F6B"/>
    <w:rsid w:val="5A6C6884"/>
    <w:rsid w:val="5A6D3D56"/>
    <w:rsid w:val="5A707F56"/>
    <w:rsid w:val="5A715E56"/>
    <w:rsid w:val="5A736072"/>
    <w:rsid w:val="5A76552B"/>
    <w:rsid w:val="5A7871E4"/>
    <w:rsid w:val="5A820063"/>
    <w:rsid w:val="5A8738CB"/>
    <w:rsid w:val="5A8A72C0"/>
    <w:rsid w:val="5A8B5169"/>
    <w:rsid w:val="5A8D7133"/>
    <w:rsid w:val="5A8E07B6"/>
    <w:rsid w:val="5A920684"/>
    <w:rsid w:val="5A93027F"/>
    <w:rsid w:val="5A9D4824"/>
    <w:rsid w:val="5A9E6C55"/>
    <w:rsid w:val="5AA05D12"/>
    <w:rsid w:val="5AA4447D"/>
    <w:rsid w:val="5AA601F5"/>
    <w:rsid w:val="5AA61FA3"/>
    <w:rsid w:val="5AAC5DDD"/>
    <w:rsid w:val="5AAE0E58"/>
    <w:rsid w:val="5AAF1500"/>
    <w:rsid w:val="5AB0697E"/>
    <w:rsid w:val="5AB346C0"/>
    <w:rsid w:val="5ABE2233"/>
    <w:rsid w:val="5AC661A1"/>
    <w:rsid w:val="5AD01E57"/>
    <w:rsid w:val="5AD42DE5"/>
    <w:rsid w:val="5AD43BFE"/>
    <w:rsid w:val="5AD52888"/>
    <w:rsid w:val="5AD76600"/>
    <w:rsid w:val="5ADF7263"/>
    <w:rsid w:val="5AE6051B"/>
    <w:rsid w:val="5AE75DD3"/>
    <w:rsid w:val="5AE91F64"/>
    <w:rsid w:val="5AEB447E"/>
    <w:rsid w:val="5AEB6B73"/>
    <w:rsid w:val="5AEE6DDA"/>
    <w:rsid w:val="5AEF37D4"/>
    <w:rsid w:val="5AF50835"/>
    <w:rsid w:val="5AF733A8"/>
    <w:rsid w:val="5AF7394F"/>
    <w:rsid w:val="5AF84F04"/>
    <w:rsid w:val="5B0647F0"/>
    <w:rsid w:val="5B0D5B7E"/>
    <w:rsid w:val="5B0F09D2"/>
    <w:rsid w:val="5B1B1D4A"/>
    <w:rsid w:val="5B1B612A"/>
    <w:rsid w:val="5B1C04B7"/>
    <w:rsid w:val="5B1E422F"/>
    <w:rsid w:val="5B264E92"/>
    <w:rsid w:val="5B2A25F3"/>
    <w:rsid w:val="5B2A61DA"/>
    <w:rsid w:val="5B2D6220"/>
    <w:rsid w:val="5B3475AF"/>
    <w:rsid w:val="5B3C0F3C"/>
    <w:rsid w:val="5B3D3F8A"/>
    <w:rsid w:val="5B417F1E"/>
    <w:rsid w:val="5B50259E"/>
    <w:rsid w:val="5B513642"/>
    <w:rsid w:val="5B5C3C9C"/>
    <w:rsid w:val="5B5D317E"/>
    <w:rsid w:val="5B5E462C"/>
    <w:rsid w:val="5B5F2152"/>
    <w:rsid w:val="5B6634E0"/>
    <w:rsid w:val="5B6B4436"/>
    <w:rsid w:val="5B706BB5"/>
    <w:rsid w:val="5B726329"/>
    <w:rsid w:val="5B751975"/>
    <w:rsid w:val="5B7612E6"/>
    <w:rsid w:val="5B7C71A8"/>
    <w:rsid w:val="5B800A46"/>
    <w:rsid w:val="5B85497E"/>
    <w:rsid w:val="5B85605C"/>
    <w:rsid w:val="5B8A1123"/>
    <w:rsid w:val="5B8D6CBF"/>
    <w:rsid w:val="5B8E6F37"/>
    <w:rsid w:val="5B8F1198"/>
    <w:rsid w:val="5B8F6EDB"/>
    <w:rsid w:val="5B9067AF"/>
    <w:rsid w:val="5B9139E9"/>
    <w:rsid w:val="5B971D60"/>
    <w:rsid w:val="5B977B3E"/>
    <w:rsid w:val="5B983683"/>
    <w:rsid w:val="5B9C33A6"/>
    <w:rsid w:val="5B9E0616"/>
    <w:rsid w:val="5B9E2A28"/>
    <w:rsid w:val="5BA02E96"/>
    <w:rsid w:val="5BA9169B"/>
    <w:rsid w:val="5BAF2220"/>
    <w:rsid w:val="5BB029AE"/>
    <w:rsid w:val="5BB46942"/>
    <w:rsid w:val="5BB73D3C"/>
    <w:rsid w:val="5BC874D8"/>
    <w:rsid w:val="5BCF552A"/>
    <w:rsid w:val="5BD043CD"/>
    <w:rsid w:val="5BD42B40"/>
    <w:rsid w:val="5BDF5D95"/>
    <w:rsid w:val="5BE40E1B"/>
    <w:rsid w:val="5BE663CF"/>
    <w:rsid w:val="5BE86AAB"/>
    <w:rsid w:val="5BEA2363"/>
    <w:rsid w:val="5BEA5624"/>
    <w:rsid w:val="5BF03C12"/>
    <w:rsid w:val="5BF362D8"/>
    <w:rsid w:val="5BF907F8"/>
    <w:rsid w:val="5BFB00CD"/>
    <w:rsid w:val="5BFB79D9"/>
    <w:rsid w:val="5BFE7528"/>
    <w:rsid w:val="5C0036B6"/>
    <w:rsid w:val="5C047769"/>
    <w:rsid w:val="5C0C5E32"/>
    <w:rsid w:val="5C107E03"/>
    <w:rsid w:val="5C1473E0"/>
    <w:rsid w:val="5C1556CA"/>
    <w:rsid w:val="5C16596A"/>
    <w:rsid w:val="5C180C7F"/>
    <w:rsid w:val="5C184216"/>
    <w:rsid w:val="5C1A5DD1"/>
    <w:rsid w:val="5C271D24"/>
    <w:rsid w:val="5C281FE1"/>
    <w:rsid w:val="5C2D5C16"/>
    <w:rsid w:val="5C2F496F"/>
    <w:rsid w:val="5C2F7D76"/>
    <w:rsid w:val="5C3019B3"/>
    <w:rsid w:val="5C3039C6"/>
    <w:rsid w:val="5C320C66"/>
    <w:rsid w:val="5C34538D"/>
    <w:rsid w:val="5C383920"/>
    <w:rsid w:val="5C3929A3"/>
    <w:rsid w:val="5C3A6E47"/>
    <w:rsid w:val="5C435232"/>
    <w:rsid w:val="5C471564"/>
    <w:rsid w:val="5C472B31"/>
    <w:rsid w:val="5C4952DC"/>
    <w:rsid w:val="5C4C6B7A"/>
    <w:rsid w:val="5C4D155C"/>
    <w:rsid w:val="5C4E402B"/>
    <w:rsid w:val="5C5B33AD"/>
    <w:rsid w:val="5C5B3495"/>
    <w:rsid w:val="5C5D0AD3"/>
    <w:rsid w:val="5C626C2B"/>
    <w:rsid w:val="5C630938"/>
    <w:rsid w:val="5C630FAA"/>
    <w:rsid w:val="5C6D2A73"/>
    <w:rsid w:val="5C6E69DF"/>
    <w:rsid w:val="5C700ABB"/>
    <w:rsid w:val="5C797243"/>
    <w:rsid w:val="5C7A0E43"/>
    <w:rsid w:val="5C7A36E7"/>
    <w:rsid w:val="5C7B2FBB"/>
    <w:rsid w:val="5C7B404B"/>
    <w:rsid w:val="5C7F2C86"/>
    <w:rsid w:val="5C804955"/>
    <w:rsid w:val="5C8267E6"/>
    <w:rsid w:val="5C855BE8"/>
    <w:rsid w:val="5C8A31FF"/>
    <w:rsid w:val="5C8E17BF"/>
    <w:rsid w:val="5C8F3BB3"/>
    <w:rsid w:val="5C910A31"/>
    <w:rsid w:val="5C91458D"/>
    <w:rsid w:val="5C995957"/>
    <w:rsid w:val="5C9B2DAC"/>
    <w:rsid w:val="5C9D1184"/>
    <w:rsid w:val="5C9E2764"/>
    <w:rsid w:val="5CA92FAB"/>
    <w:rsid w:val="5CAF373E"/>
    <w:rsid w:val="5CB14C2F"/>
    <w:rsid w:val="5CB17E45"/>
    <w:rsid w:val="5CB853BB"/>
    <w:rsid w:val="5CBC0BB0"/>
    <w:rsid w:val="5CC04E72"/>
    <w:rsid w:val="5CC05393"/>
    <w:rsid w:val="5CC11316"/>
    <w:rsid w:val="5CC170D3"/>
    <w:rsid w:val="5CC60A17"/>
    <w:rsid w:val="5CCF3FD8"/>
    <w:rsid w:val="5CD10E2D"/>
    <w:rsid w:val="5CD31049"/>
    <w:rsid w:val="5CD34BA6"/>
    <w:rsid w:val="5CD9561D"/>
    <w:rsid w:val="5CDA1AB7"/>
    <w:rsid w:val="5CDA3A05"/>
    <w:rsid w:val="5CDB111B"/>
    <w:rsid w:val="5CDC23DB"/>
    <w:rsid w:val="5CDE3232"/>
    <w:rsid w:val="5CDF5557"/>
    <w:rsid w:val="5CE13766"/>
    <w:rsid w:val="5CE60D7D"/>
    <w:rsid w:val="5CFC268C"/>
    <w:rsid w:val="5CFC40FC"/>
    <w:rsid w:val="5D043F49"/>
    <w:rsid w:val="5D047455"/>
    <w:rsid w:val="5D0631CD"/>
    <w:rsid w:val="5D1256CE"/>
    <w:rsid w:val="5D140D6A"/>
    <w:rsid w:val="5D192F00"/>
    <w:rsid w:val="5D1A4DEC"/>
    <w:rsid w:val="5D1D6CFC"/>
    <w:rsid w:val="5D213B7C"/>
    <w:rsid w:val="5D2F5E5A"/>
    <w:rsid w:val="5D321208"/>
    <w:rsid w:val="5D322E3E"/>
    <w:rsid w:val="5D355860"/>
    <w:rsid w:val="5D380C0A"/>
    <w:rsid w:val="5D381C2F"/>
    <w:rsid w:val="5D3A07F2"/>
    <w:rsid w:val="5D3F223B"/>
    <w:rsid w:val="5D4262A3"/>
    <w:rsid w:val="5D493E8C"/>
    <w:rsid w:val="5D4D4958"/>
    <w:rsid w:val="5D517215"/>
    <w:rsid w:val="5D526412"/>
    <w:rsid w:val="5D535CE6"/>
    <w:rsid w:val="5D537A94"/>
    <w:rsid w:val="5D546B61"/>
    <w:rsid w:val="5D5A021A"/>
    <w:rsid w:val="5D5D3B81"/>
    <w:rsid w:val="5D610403"/>
    <w:rsid w:val="5D6A67B7"/>
    <w:rsid w:val="5D6F0D72"/>
    <w:rsid w:val="5D73626C"/>
    <w:rsid w:val="5D747A52"/>
    <w:rsid w:val="5D797644"/>
    <w:rsid w:val="5D7C0C0A"/>
    <w:rsid w:val="5D7F43D2"/>
    <w:rsid w:val="5D812854"/>
    <w:rsid w:val="5D826C08"/>
    <w:rsid w:val="5D8C59A3"/>
    <w:rsid w:val="5D8F41A5"/>
    <w:rsid w:val="5D931BB4"/>
    <w:rsid w:val="5D9407D9"/>
    <w:rsid w:val="5D9535FE"/>
    <w:rsid w:val="5D9559E7"/>
    <w:rsid w:val="5D964551"/>
    <w:rsid w:val="5D966A55"/>
    <w:rsid w:val="5D9F0F2C"/>
    <w:rsid w:val="5DA14CA4"/>
    <w:rsid w:val="5DA73B25"/>
    <w:rsid w:val="5DAA3B58"/>
    <w:rsid w:val="5DAB167E"/>
    <w:rsid w:val="5DAC70D1"/>
    <w:rsid w:val="5DB12360"/>
    <w:rsid w:val="5DB27CF3"/>
    <w:rsid w:val="5DB4302B"/>
    <w:rsid w:val="5DC52FC5"/>
    <w:rsid w:val="5DC65E88"/>
    <w:rsid w:val="5DC80482"/>
    <w:rsid w:val="5DCD3CEB"/>
    <w:rsid w:val="5DD10016"/>
    <w:rsid w:val="5DD67B15"/>
    <w:rsid w:val="5DDE3434"/>
    <w:rsid w:val="5DE52DE2"/>
    <w:rsid w:val="5DE66D79"/>
    <w:rsid w:val="5DE828D3"/>
    <w:rsid w:val="5DE95292"/>
    <w:rsid w:val="5DEA664B"/>
    <w:rsid w:val="5DEB5F1F"/>
    <w:rsid w:val="5DF63241"/>
    <w:rsid w:val="5E000307"/>
    <w:rsid w:val="5E0314BA"/>
    <w:rsid w:val="5E034394"/>
    <w:rsid w:val="5E086AD1"/>
    <w:rsid w:val="5E0969BF"/>
    <w:rsid w:val="5E0A2849"/>
    <w:rsid w:val="5E0B1026"/>
    <w:rsid w:val="5E0E2A29"/>
    <w:rsid w:val="5E135BA1"/>
    <w:rsid w:val="5E1A09DE"/>
    <w:rsid w:val="5E1B0312"/>
    <w:rsid w:val="5E1C432A"/>
    <w:rsid w:val="5E1E0218"/>
    <w:rsid w:val="5E203A64"/>
    <w:rsid w:val="5E2467F1"/>
    <w:rsid w:val="5E25210E"/>
    <w:rsid w:val="5E285FAE"/>
    <w:rsid w:val="5E2F22B0"/>
    <w:rsid w:val="5E337FF2"/>
    <w:rsid w:val="5E3613E7"/>
    <w:rsid w:val="5E3B2A02"/>
    <w:rsid w:val="5E3D2B6F"/>
    <w:rsid w:val="5E40270F"/>
    <w:rsid w:val="5E451AD3"/>
    <w:rsid w:val="5E4A511E"/>
    <w:rsid w:val="5E4B5FE7"/>
    <w:rsid w:val="5E533DB9"/>
    <w:rsid w:val="5E571CE5"/>
    <w:rsid w:val="5E5B12F6"/>
    <w:rsid w:val="5E5B204A"/>
    <w:rsid w:val="5E5D4F0E"/>
    <w:rsid w:val="5E6301AB"/>
    <w:rsid w:val="5E666633"/>
    <w:rsid w:val="5E6957C1"/>
    <w:rsid w:val="5E6B7FDB"/>
    <w:rsid w:val="5E6C7060"/>
    <w:rsid w:val="5E755AE3"/>
    <w:rsid w:val="5E787975"/>
    <w:rsid w:val="5E7E173E"/>
    <w:rsid w:val="5E8061D0"/>
    <w:rsid w:val="5E895E64"/>
    <w:rsid w:val="5E960969"/>
    <w:rsid w:val="5E9860A7"/>
    <w:rsid w:val="5E9B16A1"/>
    <w:rsid w:val="5E9D34E8"/>
    <w:rsid w:val="5EA26FBB"/>
    <w:rsid w:val="5EA41377"/>
    <w:rsid w:val="5EA93E10"/>
    <w:rsid w:val="5EAD3A6B"/>
    <w:rsid w:val="5EB153BA"/>
    <w:rsid w:val="5EB84053"/>
    <w:rsid w:val="5EC80D4E"/>
    <w:rsid w:val="5ED2780B"/>
    <w:rsid w:val="5EDC0B16"/>
    <w:rsid w:val="5EDC4FA5"/>
    <w:rsid w:val="5EE4753E"/>
    <w:rsid w:val="5EF271CB"/>
    <w:rsid w:val="5EF332DD"/>
    <w:rsid w:val="5EF61933"/>
    <w:rsid w:val="5F0F6A73"/>
    <w:rsid w:val="5F113FF5"/>
    <w:rsid w:val="5F1414F2"/>
    <w:rsid w:val="5F1548B1"/>
    <w:rsid w:val="5F1A2B43"/>
    <w:rsid w:val="5F1A2F60"/>
    <w:rsid w:val="5F1D035A"/>
    <w:rsid w:val="5F210069"/>
    <w:rsid w:val="5F221A55"/>
    <w:rsid w:val="5F230066"/>
    <w:rsid w:val="5F263AE4"/>
    <w:rsid w:val="5F2E0569"/>
    <w:rsid w:val="5F30008D"/>
    <w:rsid w:val="5F325309"/>
    <w:rsid w:val="5F33397E"/>
    <w:rsid w:val="5F35084F"/>
    <w:rsid w:val="5F3538F6"/>
    <w:rsid w:val="5F3C1128"/>
    <w:rsid w:val="5F473629"/>
    <w:rsid w:val="5F487ACD"/>
    <w:rsid w:val="5F49100E"/>
    <w:rsid w:val="5F4B4EC7"/>
    <w:rsid w:val="5F4E39B2"/>
    <w:rsid w:val="5F4F1BBF"/>
    <w:rsid w:val="5F5034BC"/>
    <w:rsid w:val="5F506981"/>
    <w:rsid w:val="5F5521EA"/>
    <w:rsid w:val="5F57386C"/>
    <w:rsid w:val="5F585836"/>
    <w:rsid w:val="5F591D9E"/>
    <w:rsid w:val="5F592D87"/>
    <w:rsid w:val="5F5A335C"/>
    <w:rsid w:val="5F5C0E82"/>
    <w:rsid w:val="5F5D2E4C"/>
    <w:rsid w:val="5F5F529E"/>
    <w:rsid w:val="5F5F6BC4"/>
    <w:rsid w:val="5F60029C"/>
    <w:rsid w:val="5F605840"/>
    <w:rsid w:val="5F6161E9"/>
    <w:rsid w:val="5F616DC2"/>
    <w:rsid w:val="5F6463AD"/>
    <w:rsid w:val="5F685AB4"/>
    <w:rsid w:val="5F742670"/>
    <w:rsid w:val="5F7446AE"/>
    <w:rsid w:val="5F7626F2"/>
    <w:rsid w:val="5F763632"/>
    <w:rsid w:val="5F767E0E"/>
    <w:rsid w:val="5F796DC1"/>
    <w:rsid w:val="5F7A755A"/>
    <w:rsid w:val="5F7C2F88"/>
    <w:rsid w:val="5F812FDF"/>
    <w:rsid w:val="5F8A64E9"/>
    <w:rsid w:val="5F8C1714"/>
    <w:rsid w:val="5F97635E"/>
    <w:rsid w:val="5FA12D39"/>
    <w:rsid w:val="5FA91BF5"/>
    <w:rsid w:val="5FAA6092"/>
    <w:rsid w:val="5FAE5456"/>
    <w:rsid w:val="5FB243AF"/>
    <w:rsid w:val="5FB40AB0"/>
    <w:rsid w:val="5FB43A6F"/>
    <w:rsid w:val="5FB63EC8"/>
    <w:rsid w:val="5FB837BB"/>
    <w:rsid w:val="5FB918E6"/>
    <w:rsid w:val="5FBC1608"/>
    <w:rsid w:val="5FC7432E"/>
    <w:rsid w:val="5FCB6008"/>
    <w:rsid w:val="5FD17AC2"/>
    <w:rsid w:val="5FD61AF1"/>
    <w:rsid w:val="5FD744C9"/>
    <w:rsid w:val="5FD97949"/>
    <w:rsid w:val="5FDC0215"/>
    <w:rsid w:val="5FE00F7F"/>
    <w:rsid w:val="5FE315A4"/>
    <w:rsid w:val="5FE46FF4"/>
    <w:rsid w:val="5FE542CE"/>
    <w:rsid w:val="5FE570CA"/>
    <w:rsid w:val="5FEA0B84"/>
    <w:rsid w:val="5FF15D8C"/>
    <w:rsid w:val="5FF4555F"/>
    <w:rsid w:val="5FF94273"/>
    <w:rsid w:val="5FF94A51"/>
    <w:rsid w:val="5FFB4B3F"/>
    <w:rsid w:val="5FFE018B"/>
    <w:rsid w:val="600302BF"/>
    <w:rsid w:val="600400E9"/>
    <w:rsid w:val="600A6B30"/>
    <w:rsid w:val="600C60BE"/>
    <w:rsid w:val="60126B7D"/>
    <w:rsid w:val="60200102"/>
    <w:rsid w:val="60282DB9"/>
    <w:rsid w:val="602B3ACC"/>
    <w:rsid w:val="603358AD"/>
    <w:rsid w:val="60365B77"/>
    <w:rsid w:val="60383C87"/>
    <w:rsid w:val="60397B46"/>
    <w:rsid w:val="603B4F3C"/>
    <w:rsid w:val="603B5973"/>
    <w:rsid w:val="604012E8"/>
    <w:rsid w:val="60450484"/>
    <w:rsid w:val="604A7B23"/>
    <w:rsid w:val="6051650D"/>
    <w:rsid w:val="60547349"/>
    <w:rsid w:val="6056593C"/>
    <w:rsid w:val="60566219"/>
    <w:rsid w:val="60567FC7"/>
    <w:rsid w:val="60583F20"/>
    <w:rsid w:val="60587877"/>
    <w:rsid w:val="605B3830"/>
    <w:rsid w:val="605B51DF"/>
    <w:rsid w:val="605B55DE"/>
    <w:rsid w:val="60602BF4"/>
    <w:rsid w:val="606F2BDF"/>
    <w:rsid w:val="607165D6"/>
    <w:rsid w:val="60722270"/>
    <w:rsid w:val="607C33B8"/>
    <w:rsid w:val="607D37A6"/>
    <w:rsid w:val="60855D8B"/>
    <w:rsid w:val="60876791"/>
    <w:rsid w:val="60883EF9"/>
    <w:rsid w:val="608E59B3"/>
    <w:rsid w:val="6090646B"/>
    <w:rsid w:val="609119FD"/>
    <w:rsid w:val="60927E06"/>
    <w:rsid w:val="609805E0"/>
    <w:rsid w:val="609B00D0"/>
    <w:rsid w:val="609B1E7E"/>
    <w:rsid w:val="609E371C"/>
    <w:rsid w:val="60A07495"/>
    <w:rsid w:val="60A70823"/>
    <w:rsid w:val="60B35D0A"/>
    <w:rsid w:val="60B4103C"/>
    <w:rsid w:val="60B46A9C"/>
    <w:rsid w:val="60B768B1"/>
    <w:rsid w:val="60BB3871"/>
    <w:rsid w:val="60BF3C01"/>
    <w:rsid w:val="60C05441"/>
    <w:rsid w:val="60C16521"/>
    <w:rsid w:val="60C413D5"/>
    <w:rsid w:val="60C654BA"/>
    <w:rsid w:val="60C70EC5"/>
    <w:rsid w:val="60CA62C0"/>
    <w:rsid w:val="60CC405A"/>
    <w:rsid w:val="60CE12BF"/>
    <w:rsid w:val="60D4713E"/>
    <w:rsid w:val="60DE3871"/>
    <w:rsid w:val="60E23609"/>
    <w:rsid w:val="60E455DB"/>
    <w:rsid w:val="60E90E3C"/>
    <w:rsid w:val="60E9572D"/>
    <w:rsid w:val="60F251A3"/>
    <w:rsid w:val="60F40258"/>
    <w:rsid w:val="60FA6BA5"/>
    <w:rsid w:val="60FB270B"/>
    <w:rsid w:val="610619ED"/>
    <w:rsid w:val="610C0686"/>
    <w:rsid w:val="61112140"/>
    <w:rsid w:val="61131560"/>
    <w:rsid w:val="61134C24"/>
    <w:rsid w:val="61146E2B"/>
    <w:rsid w:val="61172C1C"/>
    <w:rsid w:val="61173CD8"/>
    <w:rsid w:val="6118535B"/>
    <w:rsid w:val="611A455B"/>
    <w:rsid w:val="611D427C"/>
    <w:rsid w:val="611D6D37"/>
    <w:rsid w:val="6122434D"/>
    <w:rsid w:val="61233EED"/>
    <w:rsid w:val="61273712"/>
    <w:rsid w:val="612C4093"/>
    <w:rsid w:val="612D7D0A"/>
    <w:rsid w:val="612E684E"/>
    <w:rsid w:val="61322252"/>
    <w:rsid w:val="61341414"/>
    <w:rsid w:val="613B1B91"/>
    <w:rsid w:val="61443D64"/>
    <w:rsid w:val="614520C7"/>
    <w:rsid w:val="614572D2"/>
    <w:rsid w:val="61494DA3"/>
    <w:rsid w:val="6155027F"/>
    <w:rsid w:val="61556398"/>
    <w:rsid w:val="61564461"/>
    <w:rsid w:val="61596743"/>
    <w:rsid w:val="61693D2A"/>
    <w:rsid w:val="616C4D25"/>
    <w:rsid w:val="616E7593"/>
    <w:rsid w:val="61703152"/>
    <w:rsid w:val="61732564"/>
    <w:rsid w:val="61752FDF"/>
    <w:rsid w:val="617A5F38"/>
    <w:rsid w:val="61811249"/>
    <w:rsid w:val="61891F0D"/>
    <w:rsid w:val="6189617B"/>
    <w:rsid w:val="618D56C6"/>
    <w:rsid w:val="618E553F"/>
    <w:rsid w:val="61907509"/>
    <w:rsid w:val="619D0192"/>
    <w:rsid w:val="619D5782"/>
    <w:rsid w:val="619E4AE2"/>
    <w:rsid w:val="61A430B2"/>
    <w:rsid w:val="61A46B11"/>
    <w:rsid w:val="61A6745B"/>
    <w:rsid w:val="61AB60F1"/>
    <w:rsid w:val="61AD6DA8"/>
    <w:rsid w:val="61B24A71"/>
    <w:rsid w:val="61B66A6D"/>
    <w:rsid w:val="61B9586C"/>
    <w:rsid w:val="61BA4586"/>
    <w:rsid w:val="61BC0D8B"/>
    <w:rsid w:val="61BC20AC"/>
    <w:rsid w:val="61C827FF"/>
    <w:rsid w:val="61D26F44"/>
    <w:rsid w:val="61D3043D"/>
    <w:rsid w:val="61D45648"/>
    <w:rsid w:val="61D513C0"/>
    <w:rsid w:val="61DF3176"/>
    <w:rsid w:val="61E11B13"/>
    <w:rsid w:val="61E15FB7"/>
    <w:rsid w:val="61E215D8"/>
    <w:rsid w:val="61E433B1"/>
    <w:rsid w:val="61EF2482"/>
    <w:rsid w:val="61EF4230"/>
    <w:rsid w:val="61F17317"/>
    <w:rsid w:val="61F45CEA"/>
    <w:rsid w:val="61FB0E26"/>
    <w:rsid w:val="61FD37EB"/>
    <w:rsid w:val="62013F63"/>
    <w:rsid w:val="62035F2D"/>
    <w:rsid w:val="62045801"/>
    <w:rsid w:val="62083543"/>
    <w:rsid w:val="620D6DAC"/>
    <w:rsid w:val="620E75A4"/>
    <w:rsid w:val="62107927"/>
    <w:rsid w:val="62195750"/>
    <w:rsid w:val="621A6DD3"/>
    <w:rsid w:val="621B3775"/>
    <w:rsid w:val="62257C51"/>
    <w:rsid w:val="622B2FAF"/>
    <w:rsid w:val="62364782"/>
    <w:rsid w:val="6239194F"/>
    <w:rsid w:val="623A3B59"/>
    <w:rsid w:val="623C31ED"/>
    <w:rsid w:val="623F5595"/>
    <w:rsid w:val="623F6839"/>
    <w:rsid w:val="624051A9"/>
    <w:rsid w:val="62452266"/>
    <w:rsid w:val="624F3424"/>
    <w:rsid w:val="62574E11"/>
    <w:rsid w:val="62586718"/>
    <w:rsid w:val="625B7B17"/>
    <w:rsid w:val="625C563D"/>
    <w:rsid w:val="62606EDB"/>
    <w:rsid w:val="626369CC"/>
    <w:rsid w:val="62683EEB"/>
    <w:rsid w:val="626938CB"/>
    <w:rsid w:val="62697559"/>
    <w:rsid w:val="626F711E"/>
    <w:rsid w:val="62791D4B"/>
    <w:rsid w:val="627B5FF3"/>
    <w:rsid w:val="6280132C"/>
    <w:rsid w:val="6283706E"/>
    <w:rsid w:val="62864468"/>
    <w:rsid w:val="628C136C"/>
    <w:rsid w:val="62915C2D"/>
    <w:rsid w:val="629372B1"/>
    <w:rsid w:val="62960B4F"/>
    <w:rsid w:val="62990D7C"/>
    <w:rsid w:val="62A212A2"/>
    <w:rsid w:val="62AA63A9"/>
    <w:rsid w:val="62AC0373"/>
    <w:rsid w:val="62AE40EB"/>
    <w:rsid w:val="62B13E15"/>
    <w:rsid w:val="62B2525D"/>
    <w:rsid w:val="62B552E3"/>
    <w:rsid w:val="62B578EB"/>
    <w:rsid w:val="62B86D17"/>
    <w:rsid w:val="62BD0E63"/>
    <w:rsid w:val="62BF00A6"/>
    <w:rsid w:val="62BF1F01"/>
    <w:rsid w:val="62C21BEA"/>
    <w:rsid w:val="62C27B96"/>
    <w:rsid w:val="62DA4EE0"/>
    <w:rsid w:val="62E114E8"/>
    <w:rsid w:val="62E278F0"/>
    <w:rsid w:val="62EA0E9B"/>
    <w:rsid w:val="62EC076F"/>
    <w:rsid w:val="62EC4A2E"/>
    <w:rsid w:val="62EE44E7"/>
    <w:rsid w:val="62F214E2"/>
    <w:rsid w:val="62F51D1A"/>
    <w:rsid w:val="62F82F7B"/>
    <w:rsid w:val="62FA10DE"/>
    <w:rsid w:val="62FD1B58"/>
    <w:rsid w:val="62FD472A"/>
    <w:rsid w:val="63035BBC"/>
    <w:rsid w:val="63051004"/>
    <w:rsid w:val="630737FB"/>
    <w:rsid w:val="63086B35"/>
    <w:rsid w:val="630A3604"/>
    <w:rsid w:val="630B32EB"/>
    <w:rsid w:val="63137CA2"/>
    <w:rsid w:val="63155188"/>
    <w:rsid w:val="63181564"/>
    <w:rsid w:val="6322320E"/>
    <w:rsid w:val="6323244B"/>
    <w:rsid w:val="6323564C"/>
    <w:rsid w:val="6324680D"/>
    <w:rsid w:val="632B7977"/>
    <w:rsid w:val="632C7267"/>
    <w:rsid w:val="63310878"/>
    <w:rsid w:val="63314B44"/>
    <w:rsid w:val="63323B3F"/>
    <w:rsid w:val="63326D13"/>
    <w:rsid w:val="63333EB7"/>
    <w:rsid w:val="633747FD"/>
    <w:rsid w:val="633A772C"/>
    <w:rsid w:val="63416D0D"/>
    <w:rsid w:val="63442BA2"/>
    <w:rsid w:val="63476731"/>
    <w:rsid w:val="63495BC1"/>
    <w:rsid w:val="634A36E8"/>
    <w:rsid w:val="634E56FA"/>
    <w:rsid w:val="635122CA"/>
    <w:rsid w:val="63585E5B"/>
    <w:rsid w:val="63592BE2"/>
    <w:rsid w:val="63606CA8"/>
    <w:rsid w:val="63607862"/>
    <w:rsid w:val="63624ED5"/>
    <w:rsid w:val="63691DC0"/>
    <w:rsid w:val="636A7FBD"/>
    <w:rsid w:val="636B1FDC"/>
    <w:rsid w:val="636C59AB"/>
    <w:rsid w:val="637075F2"/>
    <w:rsid w:val="63717B35"/>
    <w:rsid w:val="637E769B"/>
    <w:rsid w:val="638766EA"/>
    <w:rsid w:val="638A2DB1"/>
    <w:rsid w:val="63936E3D"/>
    <w:rsid w:val="6394356A"/>
    <w:rsid w:val="63960BD0"/>
    <w:rsid w:val="639A229E"/>
    <w:rsid w:val="63A177AC"/>
    <w:rsid w:val="63A6775E"/>
    <w:rsid w:val="63A8391B"/>
    <w:rsid w:val="63A96660"/>
    <w:rsid w:val="63B079EF"/>
    <w:rsid w:val="63B32A9F"/>
    <w:rsid w:val="63B52FA0"/>
    <w:rsid w:val="63BA1886"/>
    <w:rsid w:val="63BC7F5C"/>
    <w:rsid w:val="63BE4589"/>
    <w:rsid w:val="63BE552A"/>
    <w:rsid w:val="63C61B2C"/>
    <w:rsid w:val="63C817C4"/>
    <w:rsid w:val="63CB4BBA"/>
    <w:rsid w:val="63CD67F3"/>
    <w:rsid w:val="63D02C4F"/>
    <w:rsid w:val="63D40BE9"/>
    <w:rsid w:val="63D538F9"/>
    <w:rsid w:val="63D61FE2"/>
    <w:rsid w:val="63D77671"/>
    <w:rsid w:val="63E13C1E"/>
    <w:rsid w:val="63E47698"/>
    <w:rsid w:val="63E540E9"/>
    <w:rsid w:val="63EB7A6D"/>
    <w:rsid w:val="63F024E1"/>
    <w:rsid w:val="63F0428F"/>
    <w:rsid w:val="63F40596"/>
    <w:rsid w:val="63F41FD1"/>
    <w:rsid w:val="63F7386F"/>
    <w:rsid w:val="63F7561D"/>
    <w:rsid w:val="63F91396"/>
    <w:rsid w:val="63FB73E1"/>
    <w:rsid w:val="63FC6D87"/>
    <w:rsid w:val="64047D3A"/>
    <w:rsid w:val="64086E0D"/>
    <w:rsid w:val="640A61A9"/>
    <w:rsid w:val="640C10F6"/>
    <w:rsid w:val="64102431"/>
    <w:rsid w:val="641066DF"/>
    <w:rsid w:val="641274F0"/>
    <w:rsid w:val="641461CF"/>
    <w:rsid w:val="641478D7"/>
    <w:rsid w:val="6417346E"/>
    <w:rsid w:val="64180BA0"/>
    <w:rsid w:val="64182765"/>
    <w:rsid w:val="641A0D4D"/>
    <w:rsid w:val="641A6873"/>
    <w:rsid w:val="641C6E32"/>
    <w:rsid w:val="642063B1"/>
    <w:rsid w:val="642323BB"/>
    <w:rsid w:val="642503DD"/>
    <w:rsid w:val="6429154F"/>
    <w:rsid w:val="642B176B"/>
    <w:rsid w:val="642F3009"/>
    <w:rsid w:val="643423CE"/>
    <w:rsid w:val="64357EF4"/>
    <w:rsid w:val="643E149E"/>
    <w:rsid w:val="64400872"/>
    <w:rsid w:val="64405216"/>
    <w:rsid w:val="644F0FB6"/>
    <w:rsid w:val="644F7208"/>
    <w:rsid w:val="64537D6D"/>
    <w:rsid w:val="64552344"/>
    <w:rsid w:val="64572325"/>
    <w:rsid w:val="645B3DFE"/>
    <w:rsid w:val="646101D2"/>
    <w:rsid w:val="64656741"/>
    <w:rsid w:val="646A2293"/>
    <w:rsid w:val="646D1D84"/>
    <w:rsid w:val="6477050C"/>
    <w:rsid w:val="647E4074"/>
    <w:rsid w:val="647E5D3F"/>
    <w:rsid w:val="64835F54"/>
    <w:rsid w:val="64836EB1"/>
    <w:rsid w:val="64860C78"/>
    <w:rsid w:val="648B0D6F"/>
    <w:rsid w:val="648B3FB8"/>
    <w:rsid w:val="648C220A"/>
    <w:rsid w:val="64923598"/>
    <w:rsid w:val="64966BE4"/>
    <w:rsid w:val="649E2313"/>
    <w:rsid w:val="64A5151D"/>
    <w:rsid w:val="64A5243A"/>
    <w:rsid w:val="64A70DF2"/>
    <w:rsid w:val="64A84B6A"/>
    <w:rsid w:val="64AF7CA6"/>
    <w:rsid w:val="64B41760"/>
    <w:rsid w:val="64B54DF3"/>
    <w:rsid w:val="64B83469"/>
    <w:rsid w:val="64C51278"/>
    <w:rsid w:val="64C5396E"/>
    <w:rsid w:val="64CA0269"/>
    <w:rsid w:val="64CA0F84"/>
    <w:rsid w:val="64CB55B8"/>
    <w:rsid w:val="64CE4A40"/>
    <w:rsid w:val="64CF4C02"/>
    <w:rsid w:val="64D15E6F"/>
    <w:rsid w:val="64D25FB1"/>
    <w:rsid w:val="64D37EFA"/>
    <w:rsid w:val="64D42F2C"/>
    <w:rsid w:val="64DB0A9B"/>
    <w:rsid w:val="64E33DF4"/>
    <w:rsid w:val="64E42046"/>
    <w:rsid w:val="64EA33D4"/>
    <w:rsid w:val="64EA57B9"/>
    <w:rsid w:val="64EE4C72"/>
    <w:rsid w:val="64F13BAE"/>
    <w:rsid w:val="64F41B5D"/>
    <w:rsid w:val="64F531DE"/>
    <w:rsid w:val="64F733FB"/>
    <w:rsid w:val="64F8164D"/>
    <w:rsid w:val="64F8789F"/>
    <w:rsid w:val="64FF0C2E"/>
    <w:rsid w:val="64FF48F5"/>
    <w:rsid w:val="65053D6A"/>
    <w:rsid w:val="65075D34"/>
    <w:rsid w:val="650B5261"/>
    <w:rsid w:val="65101CD8"/>
    <w:rsid w:val="65152445"/>
    <w:rsid w:val="651C76EC"/>
    <w:rsid w:val="652222F1"/>
    <w:rsid w:val="652404E2"/>
    <w:rsid w:val="65257F68"/>
    <w:rsid w:val="652C7549"/>
    <w:rsid w:val="652E1513"/>
    <w:rsid w:val="65351879"/>
    <w:rsid w:val="65373578"/>
    <w:rsid w:val="65420538"/>
    <w:rsid w:val="65432315"/>
    <w:rsid w:val="65436031"/>
    <w:rsid w:val="654710B6"/>
    <w:rsid w:val="654A5C21"/>
    <w:rsid w:val="654B3E73"/>
    <w:rsid w:val="65502F36"/>
    <w:rsid w:val="65566CAF"/>
    <w:rsid w:val="65590552"/>
    <w:rsid w:val="655A3B3C"/>
    <w:rsid w:val="655D3BA6"/>
    <w:rsid w:val="6562740E"/>
    <w:rsid w:val="65644F35"/>
    <w:rsid w:val="656771B8"/>
    <w:rsid w:val="656A21DA"/>
    <w:rsid w:val="656E24E3"/>
    <w:rsid w:val="656E3D0D"/>
    <w:rsid w:val="656E7380"/>
    <w:rsid w:val="657333CA"/>
    <w:rsid w:val="657472A2"/>
    <w:rsid w:val="657477CF"/>
    <w:rsid w:val="65757142"/>
    <w:rsid w:val="657F1D6E"/>
    <w:rsid w:val="657F3B1C"/>
    <w:rsid w:val="658904F7"/>
    <w:rsid w:val="658C5A86"/>
    <w:rsid w:val="658D71C3"/>
    <w:rsid w:val="658E1FB1"/>
    <w:rsid w:val="658F22C5"/>
    <w:rsid w:val="659073A7"/>
    <w:rsid w:val="6594590A"/>
    <w:rsid w:val="659770B8"/>
    <w:rsid w:val="65A476F6"/>
    <w:rsid w:val="65A705FE"/>
    <w:rsid w:val="65AB451A"/>
    <w:rsid w:val="65AD261C"/>
    <w:rsid w:val="65AE7F5E"/>
    <w:rsid w:val="65B2200D"/>
    <w:rsid w:val="65B25CA0"/>
    <w:rsid w:val="65B752FD"/>
    <w:rsid w:val="65BC6B1F"/>
    <w:rsid w:val="65BF4211"/>
    <w:rsid w:val="65C05604"/>
    <w:rsid w:val="65C83D0E"/>
    <w:rsid w:val="65CC311A"/>
    <w:rsid w:val="65D63796"/>
    <w:rsid w:val="65D85E53"/>
    <w:rsid w:val="65D976D1"/>
    <w:rsid w:val="65E46075"/>
    <w:rsid w:val="65E543B6"/>
    <w:rsid w:val="65E54766"/>
    <w:rsid w:val="65E6740C"/>
    <w:rsid w:val="65E971E8"/>
    <w:rsid w:val="65EB5AE9"/>
    <w:rsid w:val="65F02E54"/>
    <w:rsid w:val="66067A6E"/>
    <w:rsid w:val="660C5141"/>
    <w:rsid w:val="660E67DC"/>
    <w:rsid w:val="660E6FF9"/>
    <w:rsid w:val="660F30F2"/>
    <w:rsid w:val="66124991"/>
    <w:rsid w:val="66134265"/>
    <w:rsid w:val="661503AA"/>
    <w:rsid w:val="66193F49"/>
    <w:rsid w:val="661C136B"/>
    <w:rsid w:val="661C7236"/>
    <w:rsid w:val="66245A6A"/>
    <w:rsid w:val="66252916"/>
    <w:rsid w:val="6626043C"/>
    <w:rsid w:val="66282AD4"/>
    <w:rsid w:val="662E4EFE"/>
    <w:rsid w:val="6635242D"/>
    <w:rsid w:val="663761A5"/>
    <w:rsid w:val="66401972"/>
    <w:rsid w:val="664A0756"/>
    <w:rsid w:val="664A62D0"/>
    <w:rsid w:val="664A66D8"/>
    <w:rsid w:val="664C6E7F"/>
    <w:rsid w:val="66501015"/>
    <w:rsid w:val="66546D57"/>
    <w:rsid w:val="66573403"/>
    <w:rsid w:val="665A1E94"/>
    <w:rsid w:val="665C20B0"/>
    <w:rsid w:val="665D1A7B"/>
    <w:rsid w:val="66644AC0"/>
    <w:rsid w:val="666A0329"/>
    <w:rsid w:val="66731EE4"/>
    <w:rsid w:val="66756ADA"/>
    <w:rsid w:val="667A2C1A"/>
    <w:rsid w:val="667F18FA"/>
    <w:rsid w:val="667F463C"/>
    <w:rsid w:val="668D2269"/>
    <w:rsid w:val="669243D1"/>
    <w:rsid w:val="669277AA"/>
    <w:rsid w:val="6695111E"/>
    <w:rsid w:val="66953856"/>
    <w:rsid w:val="66970439"/>
    <w:rsid w:val="669B0E96"/>
    <w:rsid w:val="669C24AC"/>
    <w:rsid w:val="66A22C31"/>
    <w:rsid w:val="66A23F66"/>
    <w:rsid w:val="66AB115B"/>
    <w:rsid w:val="66AF21DF"/>
    <w:rsid w:val="66B735A2"/>
    <w:rsid w:val="66B912B0"/>
    <w:rsid w:val="66C03831"/>
    <w:rsid w:val="66D02156"/>
    <w:rsid w:val="66D439F4"/>
    <w:rsid w:val="66DB1226"/>
    <w:rsid w:val="66DC4E5A"/>
    <w:rsid w:val="66E2139D"/>
    <w:rsid w:val="66E36AA1"/>
    <w:rsid w:val="66E8749F"/>
    <w:rsid w:val="66EA1469"/>
    <w:rsid w:val="66F45AA2"/>
    <w:rsid w:val="66FD119D"/>
    <w:rsid w:val="66FD6A65"/>
    <w:rsid w:val="66FF53D0"/>
    <w:rsid w:val="66FF7C13"/>
    <w:rsid w:val="670B5813"/>
    <w:rsid w:val="670D143B"/>
    <w:rsid w:val="670F0ED0"/>
    <w:rsid w:val="670F1FDC"/>
    <w:rsid w:val="67112FC1"/>
    <w:rsid w:val="6715149E"/>
    <w:rsid w:val="671F124A"/>
    <w:rsid w:val="671F2C08"/>
    <w:rsid w:val="6722368E"/>
    <w:rsid w:val="6725417B"/>
    <w:rsid w:val="67270484"/>
    <w:rsid w:val="6727446C"/>
    <w:rsid w:val="67287BFC"/>
    <w:rsid w:val="672D1356"/>
    <w:rsid w:val="67380427"/>
    <w:rsid w:val="673B3F8B"/>
    <w:rsid w:val="673D6D3E"/>
    <w:rsid w:val="673D7AC1"/>
    <w:rsid w:val="67430B7A"/>
    <w:rsid w:val="674B0DE6"/>
    <w:rsid w:val="674B73EB"/>
    <w:rsid w:val="674C1496"/>
    <w:rsid w:val="67520D1F"/>
    <w:rsid w:val="675563E9"/>
    <w:rsid w:val="675907EE"/>
    <w:rsid w:val="67605DC3"/>
    <w:rsid w:val="676520A4"/>
    <w:rsid w:val="676675B3"/>
    <w:rsid w:val="67674868"/>
    <w:rsid w:val="67684445"/>
    <w:rsid w:val="67692315"/>
    <w:rsid w:val="67705E13"/>
    <w:rsid w:val="677A33C6"/>
    <w:rsid w:val="677A7351"/>
    <w:rsid w:val="677F51E3"/>
    <w:rsid w:val="67836A16"/>
    <w:rsid w:val="67851192"/>
    <w:rsid w:val="678817D8"/>
    <w:rsid w:val="678E4C9F"/>
    <w:rsid w:val="67917B37"/>
    <w:rsid w:val="679569BA"/>
    <w:rsid w:val="679C6C8D"/>
    <w:rsid w:val="679F1D51"/>
    <w:rsid w:val="67A170B8"/>
    <w:rsid w:val="67A31AD2"/>
    <w:rsid w:val="67A45ABC"/>
    <w:rsid w:val="67AD2B8B"/>
    <w:rsid w:val="67B101D9"/>
    <w:rsid w:val="67B6134C"/>
    <w:rsid w:val="67B6759E"/>
    <w:rsid w:val="67BA4365"/>
    <w:rsid w:val="67BD092C"/>
    <w:rsid w:val="67C223E6"/>
    <w:rsid w:val="67C577E1"/>
    <w:rsid w:val="67C65A30"/>
    <w:rsid w:val="67C972D1"/>
    <w:rsid w:val="67CB72D1"/>
    <w:rsid w:val="67CF24F3"/>
    <w:rsid w:val="67D02E0D"/>
    <w:rsid w:val="67D52F54"/>
    <w:rsid w:val="67DA6F17"/>
    <w:rsid w:val="67DC5256"/>
    <w:rsid w:val="67DD4B2A"/>
    <w:rsid w:val="67DF2C0F"/>
    <w:rsid w:val="67E05496"/>
    <w:rsid w:val="67E767D0"/>
    <w:rsid w:val="67EC4D51"/>
    <w:rsid w:val="67ED7A99"/>
    <w:rsid w:val="67EE6379"/>
    <w:rsid w:val="67EF1E91"/>
    <w:rsid w:val="67F02AB0"/>
    <w:rsid w:val="67F16E7A"/>
    <w:rsid w:val="67F65BEC"/>
    <w:rsid w:val="67FB3202"/>
    <w:rsid w:val="67FC1454"/>
    <w:rsid w:val="68024591"/>
    <w:rsid w:val="68067873"/>
    <w:rsid w:val="680D6782"/>
    <w:rsid w:val="680F2B3D"/>
    <w:rsid w:val="6814419E"/>
    <w:rsid w:val="68190507"/>
    <w:rsid w:val="68197DD9"/>
    <w:rsid w:val="681F3395"/>
    <w:rsid w:val="681F6961"/>
    <w:rsid w:val="682178D7"/>
    <w:rsid w:val="68236A03"/>
    <w:rsid w:val="68297D70"/>
    <w:rsid w:val="682C1451"/>
    <w:rsid w:val="682E182A"/>
    <w:rsid w:val="682E4552"/>
    <w:rsid w:val="68347A1F"/>
    <w:rsid w:val="68356714"/>
    <w:rsid w:val="683E7CBF"/>
    <w:rsid w:val="68442DFB"/>
    <w:rsid w:val="684461C6"/>
    <w:rsid w:val="68454469"/>
    <w:rsid w:val="684B7025"/>
    <w:rsid w:val="685006E5"/>
    <w:rsid w:val="68556DB7"/>
    <w:rsid w:val="68586B40"/>
    <w:rsid w:val="685A261F"/>
    <w:rsid w:val="68610A2F"/>
    <w:rsid w:val="6861575B"/>
    <w:rsid w:val="68617509"/>
    <w:rsid w:val="68637725"/>
    <w:rsid w:val="68692862"/>
    <w:rsid w:val="686B482C"/>
    <w:rsid w:val="68710D40"/>
    <w:rsid w:val="6873723D"/>
    <w:rsid w:val="687A4A6F"/>
    <w:rsid w:val="687A68DB"/>
    <w:rsid w:val="687C2595"/>
    <w:rsid w:val="68805514"/>
    <w:rsid w:val="688720DF"/>
    <w:rsid w:val="688806DE"/>
    <w:rsid w:val="68891D50"/>
    <w:rsid w:val="688A17C5"/>
    <w:rsid w:val="688D47A2"/>
    <w:rsid w:val="68905E26"/>
    <w:rsid w:val="68906041"/>
    <w:rsid w:val="689866A0"/>
    <w:rsid w:val="68997FB2"/>
    <w:rsid w:val="689B4920"/>
    <w:rsid w:val="689C49E5"/>
    <w:rsid w:val="689F1753"/>
    <w:rsid w:val="68A044D6"/>
    <w:rsid w:val="68AC4F32"/>
    <w:rsid w:val="68AF283E"/>
    <w:rsid w:val="68B27D65"/>
    <w:rsid w:val="68B336C4"/>
    <w:rsid w:val="68B508D7"/>
    <w:rsid w:val="68B7537B"/>
    <w:rsid w:val="68B93CF2"/>
    <w:rsid w:val="68B95597"/>
    <w:rsid w:val="68C04D48"/>
    <w:rsid w:val="68C47A98"/>
    <w:rsid w:val="68C56E46"/>
    <w:rsid w:val="68C77CB4"/>
    <w:rsid w:val="68C91F1E"/>
    <w:rsid w:val="68C94574"/>
    <w:rsid w:val="68CA3301"/>
    <w:rsid w:val="68CD4DEE"/>
    <w:rsid w:val="68CF361B"/>
    <w:rsid w:val="68D00E32"/>
    <w:rsid w:val="68D423D1"/>
    <w:rsid w:val="68D67EF7"/>
    <w:rsid w:val="68D91796"/>
    <w:rsid w:val="68E048D2"/>
    <w:rsid w:val="68E1064A"/>
    <w:rsid w:val="68E5013A"/>
    <w:rsid w:val="68E85E7D"/>
    <w:rsid w:val="68EF0F26"/>
    <w:rsid w:val="68F77E6E"/>
    <w:rsid w:val="68F950C9"/>
    <w:rsid w:val="68FE1E67"/>
    <w:rsid w:val="69006D22"/>
    <w:rsid w:val="69034A64"/>
    <w:rsid w:val="690507DD"/>
    <w:rsid w:val="690C3919"/>
    <w:rsid w:val="690D3E3E"/>
    <w:rsid w:val="690E58E3"/>
    <w:rsid w:val="69111737"/>
    <w:rsid w:val="69124CA8"/>
    <w:rsid w:val="691602F4"/>
    <w:rsid w:val="6918360E"/>
    <w:rsid w:val="691A6289"/>
    <w:rsid w:val="691B00E0"/>
    <w:rsid w:val="6922313D"/>
    <w:rsid w:val="69230C63"/>
    <w:rsid w:val="6924674A"/>
    <w:rsid w:val="69253CFA"/>
    <w:rsid w:val="69256789"/>
    <w:rsid w:val="692622A5"/>
    <w:rsid w:val="6929776F"/>
    <w:rsid w:val="693114F7"/>
    <w:rsid w:val="693144D5"/>
    <w:rsid w:val="693152DB"/>
    <w:rsid w:val="69316E2F"/>
    <w:rsid w:val="69335F41"/>
    <w:rsid w:val="69360996"/>
    <w:rsid w:val="6938470E"/>
    <w:rsid w:val="693B02C1"/>
    <w:rsid w:val="693D1D24"/>
    <w:rsid w:val="693E1EF2"/>
    <w:rsid w:val="693F2166"/>
    <w:rsid w:val="693F6A4B"/>
    <w:rsid w:val="69417B43"/>
    <w:rsid w:val="694675D1"/>
    <w:rsid w:val="694B1579"/>
    <w:rsid w:val="694E0114"/>
    <w:rsid w:val="694E2071"/>
    <w:rsid w:val="69503AB2"/>
    <w:rsid w:val="69561038"/>
    <w:rsid w:val="69580AFB"/>
    <w:rsid w:val="69584DB0"/>
    <w:rsid w:val="69594684"/>
    <w:rsid w:val="695A0340"/>
    <w:rsid w:val="6961264B"/>
    <w:rsid w:val="69670B4F"/>
    <w:rsid w:val="696E6382"/>
    <w:rsid w:val="69703F25"/>
    <w:rsid w:val="69766163"/>
    <w:rsid w:val="697A0D40"/>
    <w:rsid w:val="697A3B33"/>
    <w:rsid w:val="698004A0"/>
    <w:rsid w:val="69801075"/>
    <w:rsid w:val="698456F8"/>
    <w:rsid w:val="69893798"/>
    <w:rsid w:val="698C4A5A"/>
    <w:rsid w:val="698D2096"/>
    <w:rsid w:val="6994654E"/>
    <w:rsid w:val="6997112D"/>
    <w:rsid w:val="69974DA1"/>
    <w:rsid w:val="6999171C"/>
    <w:rsid w:val="69992CD3"/>
    <w:rsid w:val="699A58EB"/>
    <w:rsid w:val="699B4C9D"/>
    <w:rsid w:val="699D2F44"/>
    <w:rsid w:val="69A2427D"/>
    <w:rsid w:val="69A2602B"/>
    <w:rsid w:val="69A27510"/>
    <w:rsid w:val="69A47FF6"/>
    <w:rsid w:val="69A84F42"/>
    <w:rsid w:val="69B01903"/>
    <w:rsid w:val="69B12069"/>
    <w:rsid w:val="69B12712"/>
    <w:rsid w:val="69B30239"/>
    <w:rsid w:val="69B57565"/>
    <w:rsid w:val="69C13A92"/>
    <w:rsid w:val="69C50576"/>
    <w:rsid w:val="69C53AC8"/>
    <w:rsid w:val="69C73CE4"/>
    <w:rsid w:val="69CE6E20"/>
    <w:rsid w:val="69D00CB9"/>
    <w:rsid w:val="69D26056"/>
    <w:rsid w:val="69D44760"/>
    <w:rsid w:val="69D44FE9"/>
    <w:rsid w:val="69DB0917"/>
    <w:rsid w:val="69E14559"/>
    <w:rsid w:val="69E47526"/>
    <w:rsid w:val="69E5360C"/>
    <w:rsid w:val="69E7087A"/>
    <w:rsid w:val="69F12554"/>
    <w:rsid w:val="69FA19C4"/>
    <w:rsid w:val="69FA4A57"/>
    <w:rsid w:val="69FC14C2"/>
    <w:rsid w:val="6A0171F6"/>
    <w:rsid w:val="6A0D5BC6"/>
    <w:rsid w:val="6A152CA1"/>
    <w:rsid w:val="6A164324"/>
    <w:rsid w:val="6A1F3670"/>
    <w:rsid w:val="6A2313C8"/>
    <w:rsid w:val="6A270236"/>
    <w:rsid w:val="6A2904FB"/>
    <w:rsid w:val="6A294057"/>
    <w:rsid w:val="6A2975B6"/>
    <w:rsid w:val="6A2E5993"/>
    <w:rsid w:val="6A445F76"/>
    <w:rsid w:val="6A4F405B"/>
    <w:rsid w:val="6A520EC7"/>
    <w:rsid w:val="6A547642"/>
    <w:rsid w:val="6A5918A8"/>
    <w:rsid w:val="6A597E36"/>
    <w:rsid w:val="6A5A4B58"/>
    <w:rsid w:val="6A5A6906"/>
    <w:rsid w:val="6A5E2A8A"/>
    <w:rsid w:val="6A5F0EAD"/>
    <w:rsid w:val="6A67341E"/>
    <w:rsid w:val="6A68275F"/>
    <w:rsid w:val="6A6C07B0"/>
    <w:rsid w:val="6A723C50"/>
    <w:rsid w:val="6A7554EE"/>
    <w:rsid w:val="6A883473"/>
    <w:rsid w:val="6A8D2838"/>
    <w:rsid w:val="6A94244B"/>
    <w:rsid w:val="6A9E67F3"/>
    <w:rsid w:val="6AA13260"/>
    <w:rsid w:val="6AA638F9"/>
    <w:rsid w:val="6AA84CCC"/>
    <w:rsid w:val="6AA95BC4"/>
    <w:rsid w:val="6AAA6152"/>
    <w:rsid w:val="6AAD2EDA"/>
    <w:rsid w:val="6AAD5B29"/>
    <w:rsid w:val="6AB26742"/>
    <w:rsid w:val="6AB46016"/>
    <w:rsid w:val="6AB67493"/>
    <w:rsid w:val="6AB75B07"/>
    <w:rsid w:val="6AB853DB"/>
    <w:rsid w:val="6ABB3C61"/>
    <w:rsid w:val="6ABC136F"/>
    <w:rsid w:val="6AC02C0D"/>
    <w:rsid w:val="6AC922C6"/>
    <w:rsid w:val="6AD9560C"/>
    <w:rsid w:val="6ADA17F5"/>
    <w:rsid w:val="6ADC556D"/>
    <w:rsid w:val="6AE17CF5"/>
    <w:rsid w:val="6AE52674"/>
    <w:rsid w:val="6AE64637"/>
    <w:rsid w:val="6AEA7C8A"/>
    <w:rsid w:val="6AEC1C54"/>
    <w:rsid w:val="6AF16547"/>
    <w:rsid w:val="6AF87E20"/>
    <w:rsid w:val="6AFD5310"/>
    <w:rsid w:val="6B013C3D"/>
    <w:rsid w:val="6B06746F"/>
    <w:rsid w:val="6B0C05FA"/>
    <w:rsid w:val="6B0D45AD"/>
    <w:rsid w:val="6B0E37A9"/>
    <w:rsid w:val="6B0E5AD9"/>
    <w:rsid w:val="6B0F149F"/>
    <w:rsid w:val="6B0F7D41"/>
    <w:rsid w:val="6B19056F"/>
    <w:rsid w:val="6B2C3B48"/>
    <w:rsid w:val="6B2D70A4"/>
    <w:rsid w:val="6B2F1B41"/>
    <w:rsid w:val="6B2F3A1B"/>
    <w:rsid w:val="6B2F7D93"/>
    <w:rsid w:val="6B301415"/>
    <w:rsid w:val="6B322639"/>
    <w:rsid w:val="6B3A6096"/>
    <w:rsid w:val="6B3B0AA9"/>
    <w:rsid w:val="6B3C24EF"/>
    <w:rsid w:val="6B413622"/>
    <w:rsid w:val="6B43383E"/>
    <w:rsid w:val="6B454371"/>
    <w:rsid w:val="6B557B0C"/>
    <w:rsid w:val="6B5634F5"/>
    <w:rsid w:val="6B5740F0"/>
    <w:rsid w:val="6B5A4853"/>
    <w:rsid w:val="6B5A6D8E"/>
    <w:rsid w:val="6B5B7CDD"/>
    <w:rsid w:val="6B633598"/>
    <w:rsid w:val="6B67532A"/>
    <w:rsid w:val="6B6E668D"/>
    <w:rsid w:val="6B741C4A"/>
    <w:rsid w:val="6B774330"/>
    <w:rsid w:val="6B813C05"/>
    <w:rsid w:val="6B833C3B"/>
    <w:rsid w:val="6B854B1E"/>
    <w:rsid w:val="6B8F438D"/>
    <w:rsid w:val="6B962E0F"/>
    <w:rsid w:val="6B995548"/>
    <w:rsid w:val="6B9F6CC6"/>
    <w:rsid w:val="6BA047ED"/>
    <w:rsid w:val="6BA918F3"/>
    <w:rsid w:val="6BA94791"/>
    <w:rsid w:val="6BAA566B"/>
    <w:rsid w:val="6BAC13E3"/>
    <w:rsid w:val="6BAF41AE"/>
    <w:rsid w:val="6BB4406A"/>
    <w:rsid w:val="6BB65DBE"/>
    <w:rsid w:val="6BBD6622"/>
    <w:rsid w:val="6BC5242B"/>
    <w:rsid w:val="6BC71D79"/>
    <w:rsid w:val="6BC76A15"/>
    <w:rsid w:val="6BCF626D"/>
    <w:rsid w:val="6BD050D2"/>
    <w:rsid w:val="6BD3071E"/>
    <w:rsid w:val="6BDD334B"/>
    <w:rsid w:val="6BDF5315"/>
    <w:rsid w:val="6BE35B73"/>
    <w:rsid w:val="6BF031A0"/>
    <w:rsid w:val="6BF1329A"/>
    <w:rsid w:val="6BFB1A23"/>
    <w:rsid w:val="6BFB5EC7"/>
    <w:rsid w:val="6BFE351B"/>
    <w:rsid w:val="6BFF7E7B"/>
    <w:rsid w:val="6C031950"/>
    <w:rsid w:val="6C09033F"/>
    <w:rsid w:val="6C117498"/>
    <w:rsid w:val="6C152AE5"/>
    <w:rsid w:val="6C170F75"/>
    <w:rsid w:val="6C1E72BD"/>
    <w:rsid w:val="6C1F3963"/>
    <w:rsid w:val="6C270631"/>
    <w:rsid w:val="6C296590"/>
    <w:rsid w:val="6C2A1812"/>
    <w:rsid w:val="6C2B19F9"/>
    <w:rsid w:val="6C2B57A6"/>
    <w:rsid w:val="6C2E1294"/>
    <w:rsid w:val="6C2E4C2A"/>
    <w:rsid w:val="6C2F0129"/>
    <w:rsid w:val="6C2F13C8"/>
    <w:rsid w:val="6C3118E9"/>
    <w:rsid w:val="6C31474A"/>
    <w:rsid w:val="6C33740F"/>
    <w:rsid w:val="6C3A3650"/>
    <w:rsid w:val="6C44786E"/>
    <w:rsid w:val="6C4D1F5C"/>
    <w:rsid w:val="6C500FF9"/>
    <w:rsid w:val="6C503BF2"/>
    <w:rsid w:val="6C507FC1"/>
    <w:rsid w:val="6C517895"/>
    <w:rsid w:val="6C52747B"/>
    <w:rsid w:val="6C53185F"/>
    <w:rsid w:val="6C56076F"/>
    <w:rsid w:val="6C583A08"/>
    <w:rsid w:val="6C5910F6"/>
    <w:rsid w:val="6C632527"/>
    <w:rsid w:val="6C636C38"/>
    <w:rsid w:val="6C64581A"/>
    <w:rsid w:val="6C66638F"/>
    <w:rsid w:val="6C67352C"/>
    <w:rsid w:val="6C682F65"/>
    <w:rsid w:val="6C72069E"/>
    <w:rsid w:val="6C731F01"/>
    <w:rsid w:val="6C7346B6"/>
    <w:rsid w:val="6C757A27"/>
    <w:rsid w:val="6C765C32"/>
    <w:rsid w:val="6C853A4D"/>
    <w:rsid w:val="6C865790"/>
    <w:rsid w:val="6C8B427D"/>
    <w:rsid w:val="6C8F6890"/>
    <w:rsid w:val="6C9500C9"/>
    <w:rsid w:val="6C9C3471"/>
    <w:rsid w:val="6CA65E33"/>
    <w:rsid w:val="6CAA0F42"/>
    <w:rsid w:val="6CAA44B3"/>
    <w:rsid w:val="6CB06CB1"/>
    <w:rsid w:val="6CB25092"/>
    <w:rsid w:val="6CB26586"/>
    <w:rsid w:val="6CBA7124"/>
    <w:rsid w:val="6CC1724C"/>
    <w:rsid w:val="6CC40509"/>
    <w:rsid w:val="6CC462B9"/>
    <w:rsid w:val="6CC62031"/>
    <w:rsid w:val="6CCB3AEB"/>
    <w:rsid w:val="6CCB6DFE"/>
    <w:rsid w:val="6CD6586E"/>
    <w:rsid w:val="6CD81086"/>
    <w:rsid w:val="6CDD4EAC"/>
    <w:rsid w:val="6CDE737B"/>
    <w:rsid w:val="6CDF3D5F"/>
    <w:rsid w:val="6CE10C19"/>
    <w:rsid w:val="6CE84719"/>
    <w:rsid w:val="6CF52916"/>
    <w:rsid w:val="6CF655B4"/>
    <w:rsid w:val="6CF92406"/>
    <w:rsid w:val="6CFC1EF7"/>
    <w:rsid w:val="6CFC3CA5"/>
    <w:rsid w:val="6CFC5109"/>
    <w:rsid w:val="6CFD3965"/>
    <w:rsid w:val="6CFF74E3"/>
    <w:rsid w:val="6D03499F"/>
    <w:rsid w:val="6D040439"/>
    <w:rsid w:val="6D0619B6"/>
    <w:rsid w:val="6D062D75"/>
    <w:rsid w:val="6D08089B"/>
    <w:rsid w:val="6D12171A"/>
    <w:rsid w:val="6D140FEE"/>
    <w:rsid w:val="6D1A412B"/>
    <w:rsid w:val="6D1B3EA0"/>
    <w:rsid w:val="6D205BE5"/>
    <w:rsid w:val="6D250EDC"/>
    <w:rsid w:val="6D286848"/>
    <w:rsid w:val="6D291C0A"/>
    <w:rsid w:val="6D2D3508"/>
    <w:rsid w:val="6D3209CC"/>
    <w:rsid w:val="6D3C0543"/>
    <w:rsid w:val="6D3C22F3"/>
    <w:rsid w:val="6D4308A4"/>
    <w:rsid w:val="6D444BE9"/>
    <w:rsid w:val="6D4D0D57"/>
    <w:rsid w:val="6D4D61B3"/>
    <w:rsid w:val="6D594314"/>
    <w:rsid w:val="6D594C53"/>
    <w:rsid w:val="6D612DAB"/>
    <w:rsid w:val="6D6C2735"/>
    <w:rsid w:val="6D6D7474"/>
    <w:rsid w:val="6D6E1AEB"/>
    <w:rsid w:val="6D77157D"/>
    <w:rsid w:val="6D793547"/>
    <w:rsid w:val="6D7D165E"/>
    <w:rsid w:val="6D825D40"/>
    <w:rsid w:val="6D8B57ED"/>
    <w:rsid w:val="6D8B714E"/>
    <w:rsid w:val="6D8B7357"/>
    <w:rsid w:val="6D8F68C7"/>
    <w:rsid w:val="6D8F75B5"/>
    <w:rsid w:val="6D907458"/>
    <w:rsid w:val="6D940381"/>
    <w:rsid w:val="6D9D7236"/>
    <w:rsid w:val="6DA06D26"/>
    <w:rsid w:val="6DA22A9E"/>
    <w:rsid w:val="6DA27144"/>
    <w:rsid w:val="6DA46816"/>
    <w:rsid w:val="6DA944F5"/>
    <w:rsid w:val="6DA97EDF"/>
    <w:rsid w:val="6DB34098"/>
    <w:rsid w:val="6DB342CF"/>
    <w:rsid w:val="6DB545B6"/>
    <w:rsid w:val="6DBA36B1"/>
    <w:rsid w:val="6DBC5B32"/>
    <w:rsid w:val="6DBD5A55"/>
    <w:rsid w:val="6DBF1879"/>
    <w:rsid w:val="6DBF652B"/>
    <w:rsid w:val="6DC56C45"/>
    <w:rsid w:val="6DCC7B1B"/>
    <w:rsid w:val="6DCF1981"/>
    <w:rsid w:val="6DD644F6"/>
    <w:rsid w:val="6DDE6407"/>
    <w:rsid w:val="6DE02FB4"/>
    <w:rsid w:val="6DE444D3"/>
    <w:rsid w:val="6DE748C0"/>
    <w:rsid w:val="6DE94229"/>
    <w:rsid w:val="6DEA7652"/>
    <w:rsid w:val="6DF02BC2"/>
    <w:rsid w:val="6DF5133D"/>
    <w:rsid w:val="6DF71BF9"/>
    <w:rsid w:val="6DFA5E6B"/>
    <w:rsid w:val="6DFB61C6"/>
    <w:rsid w:val="6DFB64AB"/>
    <w:rsid w:val="6DFC690B"/>
    <w:rsid w:val="6DFF70CE"/>
    <w:rsid w:val="6E05302D"/>
    <w:rsid w:val="6E065BEF"/>
    <w:rsid w:val="6E09799D"/>
    <w:rsid w:val="6E0A419F"/>
    <w:rsid w:val="6E0C6169"/>
    <w:rsid w:val="6E0E3894"/>
    <w:rsid w:val="6E1649B4"/>
    <w:rsid w:val="6E176133"/>
    <w:rsid w:val="6E193292"/>
    <w:rsid w:val="6E1D2124"/>
    <w:rsid w:val="6E227325"/>
    <w:rsid w:val="6E2C2368"/>
    <w:rsid w:val="6E3C4DA1"/>
    <w:rsid w:val="6E443B55"/>
    <w:rsid w:val="6E453860"/>
    <w:rsid w:val="6E481C23"/>
    <w:rsid w:val="6E4A51F2"/>
    <w:rsid w:val="6E514CED"/>
    <w:rsid w:val="6E5C4FDF"/>
    <w:rsid w:val="6E632FA9"/>
    <w:rsid w:val="6E647D53"/>
    <w:rsid w:val="6E6B2370"/>
    <w:rsid w:val="6E6B2456"/>
    <w:rsid w:val="6E6E472E"/>
    <w:rsid w:val="6E714DB6"/>
    <w:rsid w:val="6E751F61"/>
    <w:rsid w:val="6E776249"/>
    <w:rsid w:val="6E777A87"/>
    <w:rsid w:val="6E7A1325"/>
    <w:rsid w:val="6E7D7067"/>
    <w:rsid w:val="6E842866"/>
    <w:rsid w:val="6E8A258E"/>
    <w:rsid w:val="6E8E1B45"/>
    <w:rsid w:val="6EA2087C"/>
    <w:rsid w:val="6EA63EC8"/>
    <w:rsid w:val="6EA86C4E"/>
    <w:rsid w:val="6EA91C0A"/>
    <w:rsid w:val="6EB50CB1"/>
    <w:rsid w:val="6EB563D5"/>
    <w:rsid w:val="6EB7167F"/>
    <w:rsid w:val="6EB802B4"/>
    <w:rsid w:val="6EB81E4D"/>
    <w:rsid w:val="6EBA151E"/>
    <w:rsid w:val="6EBB05F6"/>
    <w:rsid w:val="6EBE1D25"/>
    <w:rsid w:val="6EC47EF5"/>
    <w:rsid w:val="6EC6496E"/>
    <w:rsid w:val="6ECE01AD"/>
    <w:rsid w:val="6ED04791"/>
    <w:rsid w:val="6ED21161"/>
    <w:rsid w:val="6ED77032"/>
    <w:rsid w:val="6ED92677"/>
    <w:rsid w:val="6EDA0016"/>
    <w:rsid w:val="6EDA06E8"/>
    <w:rsid w:val="6EE3336E"/>
    <w:rsid w:val="6EED5F9B"/>
    <w:rsid w:val="6EEE1785"/>
    <w:rsid w:val="6EEE6672"/>
    <w:rsid w:val="6EF224E7"/>
    <w:rsid w:val="6EF235B1"/>
    <w:rsid w:val="6EF26C65"/>
    <w:rsid w:val="6EF36162"/>
    <w:rsid w:val="6EFE1F56"/>
    <w:rsid w:val="6F011A46"/>
    <w:rsid w:val="6F0532E4"/>
    <w:rsid w:val="6F0F7D12"/>
    <w:rsid w:val="6F1D6F0C"/>
    <w:rsid w:val="6F1E6154"/>
    <w:rsid w:val="6F225983"/>
    <w:rsid w:val="6F2319BD"/>
    <w:rsid w:val="6F2470F8"/>
    <w:rsid w:val="6F255735"/>
    <w:rsid w:val="6F2625EC"/>
    <w:rsid w:val="6F2D45E9"/>
    <w:rsid w:val="6F2E4DF8"/>
    <w:rsid w:val="6F3543D0"/>
    <w:rsid w:val="6F3B4F58"/>
    <w:rsid w:val="6F3F2AFA"/>
    <w:rsid w:val="6F451933"/>
    <w:rsid w:val="6F4F0C4A"/>
    <w:rsid w:val="6F540CD9"/>
    <w:rsid w:val="6F563C02"/>
    <w:rsid w:val="6F6049BF"/>
    <w:rsid w:val="6F616041"/>
    <w:rsid w:val="6F624C36"/>
    <w:rsid w:val="6F630AFF"/>
    <w:rsid w:val="6F71073E"/>
    <w:rsid w:val="6F7545A3"/>
    <w:rsid w:val="6F762E87"/>
    <w:rsid w:val="6F77754F"/>
    <w:rsid w:val="6F792659"/>
    <w:rsid w:val="6F7A12FE"/>
    <w:rsid w:val="6F8A1A3C"/>
    <w:rsid w:val="6F8D32DA"/>
    <w:rsid w:val="6F8F0CA2"/>
    <w:rsid w:val="6F9543B1"/>
    <w:rsid w:val="6F963F3C"/>
    <w:rsid w:val="6F9E7295"/>
    <w:rsid w:val="6FA06B69"/>
    <w:rsid w:val="6FAD5226"/>
    <w:rsid w:val="6FB90683"/>
    <w:rsid w:val="6FB95E7D"/>
    <w:rsid w:val="6FB97C2B"/>
    <w:rsid w:val="6FBC5F2C"/>
    <w:rsid w:val="6FBF6F55"/>
    <w:rsid w:val="6FC14D32"/>
    <w:rsid w:val="6FC7174D"/>
    <w:rsid w:val="6FCA2C7F"/>
    <w:rsid w:val="6FCC5BB0"/>
    <w:rsid w:val="6FCD1729"/>
    <w:rsid w:val="6FCF38F2"/>
    <w:rsid w:val="6FCF744E"/>
    <w:rsid w:val="6FD35191"/>
    <w:rsid w:val="6FD7138D"/>
    <w:rsid w:val="6FD76303"/>
    <w:rsid w:val="6FD827A7"/>
    <w:rsid w:val="6FDD7DBD"/>
    <w:rsid w:val="6FDE3B35"/>
    <w:rsid w:val="6FE05885"/>
    <w:rsid w:val="6FE253D4"/>
    <w:rsid w:val="6FE618EE"/>
    <w:rsid w:val="6FEA072C"/>
    <w:rsid w:val="6FEC1DAE"/>
    <w:rsid w:val="6FEC40E3"/>
    <w:rsid w:val="6FF46159"/>
    <w:rsid w:val="6FF65538"/>
    <w:rsid w:val="6FF933EA"/>
    <w:rsid w:val="6FFC5590"/>
    <w:rsid w:val="6FFD3FBC"/>
    <w:rsid w:val="6FFE7CAA"/>
    <w:rsid w:val="6FFF1A47"/>
    <w:rsid w:val="700025E2"/>
    <w:rsid w:val="700B3D46"/>
    <w:rsid w:val="700E441B"/>
    <w:rsid w:val="70147557"/>
    <w:rsid w:val="701C74B2"/>
    <w:rsid w:val="701D68BA"/>
    <w:rsid w:val="702116FC"/>
    <w:rsid w:val="702C664F"/>
    <w:rsid w:val="703A12FE"/>
    <w:rsid w:val="703A5210"/>
    <w:rsid w:val="703F45D4"/>
    <w:rsid w:val="704559BD"/>
    <w:rsid w:val="70473489"/>
    <w:rsid w:val="70504C00"/>
    <w:rsid w:val="70514307"/>
    <w:rsid w:val="705838E8"/>
    <w:rsid w:val="7064643D"/>
    <w:rsid w:val="70657DB3"/>
    <w:rsid w:val="706722C5"/>
    <w:rsid w:val="706A00AB"/>
    <w:rsid w:val="706A7177"/>
    <w:rsid w:val="706B4675"/>
    <w:rsid w:val="706B6237"/>
    <w:rsid w:val="706D1DD0"/>
    <w:rsid w:val="706E1F4B"/>
    <w:rsid w:val="70756248"/>
    <w:rsid w:val="707D6EAA"/>
    <w:rsid w:val="70856B87"/>
    <w:rsid w:val="708844B7"/>
    <w:rsid w:val="708A7853"/>
    <w:rsid w:val="708E502E"/>
    <w:rsid w:val="708E730A"/>
    <w:rsid w:val="7091096D"/>
    <w:rsid w:val="709D5E1F"/>
    <w:rsid w:val="70A1703D"/>
    <w:rsid w:val="70A503F9"/>
    <w:rsid w:val="70AA32D5"/>
    <w:rsid w:val="70C07EA0"/>
    <w:rsid w:val="70C561C1"/>
    <w:rsid w:val="70C74796"/>
    <w:rsid w:val="70CB5E68"/>
    <w:rsid w:val="70CE7706"/>
    <w:rsid w:val="70CF218E"/>
    <w:rsid w:val="70D016D0"/>
    <w:rsid w:val="70D34D1C"/>
    <w:rsid w:val="70D527EE"/>
    <w:rsid w:val="70D54F38"/>
    <w:rsid w:val="70D9205C"/>
    <w:rsid w:val="70DA254F"/>
    <w:rsid w:val="70DE2274"/>
    <w:rsid w:val="70E973F1"/>
    <w:rsid w:val="70EB4198"/>
    <w:rsid w:val="70EE5C8C"/>
    <w:rsid w:val="71033854"/>
    <w:rsid w:val="710475CC"/>
    <w:rsid w:val="710A1AFF"/>
    <w:rsid w:val="71120B95"/>
    <w:rsid w:val="71141C04"/>
    <w:rsid w:val="711730E9"/>
    <w:rsid w:val="711D324B"/>
    <w:rsid w:val="711F55DE"/>
    <w:rsid w:val="712367FA"/>
    <w:rsid w:val="712838E6"/>
    <w:rsid w:val="712950A7"/>
    <w:rsid w:val="712F4815"/>
    <w:rsid w:val="71306613"/>
    <w:rsid w:val="71367DFF"/>
    <w:rsid w:val="7137756D"/>
    <w:rsid w:val="713C0B14"/>
    <w:rsid w:val="714123E4"/>
    <w:rsid w:val="71432F78"/>
    <w:rsid w:val="714427E7"/>
    <w:rsid w:val="71492256"/>
    <w:rsid w:val="714A6E09"/>
    <w:rsid w:val="71500A63"/>
    <w:rsid w:val="71566079"/>
    <w:rsid w:val="71573B9F"/>
    <w:rsid w:val="715916C6"/>
    <w:rsid w:val="715A69E5"/>
    <w:rsid w:val="715B5300"/>
    <w:rsid w:val="715E6CDC"/>
    <w:rsid w:val="71600CA6"/>
    <w:rsid w:val="7160372F"/>
    <w:rsid w:val="7164006A"/>
    <w:rsid w:val="7169256D"/>
    <w:rsid w:val="716A70F2"/>
    <w:rsid w:val="716B764B"/>
    <w:rsid w:val="71733335"/>
    <w:rsid w:val="7174674D"/>
    <w:rsid w:val="71753564"/>
    <w:rsid w:val="71754026"/>
    <w:rsid w:val="71771B4C"/>
    <w:rsid w:val="717B5AE0"/>
    <w:rsid w:val="717C3606"/>
    <w:rsid w:val="717C58A0"/>
    <w:rsid w:val="718129CA"/>
    <w:rsid w:val="71861A2E"/>
    <w:rsid w:val="71866233"/>
    <w:rsid w:val="71867FE1"/>
    <w:rsid w:val="718928DA"/>
    <w:rsid w:val="718A5857"/>
    <w:rsid w:val="71944BCE"/>
    <w:rsid w:val="71954227"/>
    <w:rsid w:val="71970440"/>
    <w:rsid w:val="719730CF"/>
    <w:rsid w:val="71984131"/>
    <w:rsid w:val="719C3A09"/>
    <w:rsid w:val="719C5A56"/>
    <w:rsid w:val="719C653B"/>
    <w:rsid w:val="71A05546"/>
    <w:rsid w:val="71A16BC9"/>
    <w:rsid w:val="71A21245"/>
    <w:rsid w:val="71A52B5D"/>
    <w:rsid w:val="71A603CF"/>
    <w:rsid w:val="71AE4B52"/>
    <w:rsid w:val="71B211A1"/>
    <w:rsid w:val="71B474FE"/>
    <w:rsid w:val="71B81001"/>
    <w:rsid w:val="71BE554C"/>
    <w:rsid w:val="71BE59CD"/>
    <w:rsid w:val="71C034F3"/>
    <w:rsid w:val="71CD3E62"/>
    <w:rsid w:val="71D27F8A"/>
    <w:rsid w:val="71DB20DB"/>
    <w:rsid w:val="71E323B9"/>
    <w:rsid w:val="71E72FD1"/>
    <w:rsid w:val="71EA2149"/>
    <w:rsid w:val="71EE5FA0"/>
    <w:rsid w:val="71EF4F3C"/>
    <w:rsid w:val="71F01070"/>
    <w:rsid w:val="71F10B4A"/>
    <w:rsid w:val="71F11D10"/>
    <w:rsid w:val="71F31B1A"/>
    <w:rsid w:val="7203175C"/>
    <w:rsid w:val="72077373"/>
    <w:rsid w:val="720A0C12"/>
    <w:rsid w:val="720B0421"/>
    <w:rsid w:val="720C498A"/>
    <w:rsid w:val="720C6738"/>
    <w:rsid w:val="72190E55"/>
    <w:rsid w:val="721E646B"/>
    <w:rsid w:val="722519A3"/>
    <w:rsid w:val="72254707"/>
    <w:rsid w:val="72273572"/>
    <w:rsid w:val="722E4525"/>
    <w:rsid w:val="722E4900"/>
    <w:rsid w:val="722E572A"/>
    <w:rsid w:val="72305791"/>
    <w:rsid w:val="72306FF9"/>
    <w:rsid w:val="723932A5"/>
    <w:rsid w:val="723C7961"/>
    <w:rsid w:val="723D4B43"/>
    <w:rsid w:val="724203AC"/>
    <w:rsid w:val="72490D60"/>
    <w:rsid w:val="724A6F6C"/>
    <w:rsid w:val="724C7C4B"/>
    <w:rsid w:val="7251044D"/>
    <w:rsid w:val="72553024"/>
    <w:rsid w:val="7255331D"/>
    <w:rsid w:val="7256085A"/>
    <w:rsid w:val="72591686"/>
    <w:rsid w:val="725E35C6"/>
    <w:rsid w:val="72645821"/>
    <w:rsid w:val="726A345E"/>
    <w:rsid w:val="726C71D7"/>
    <w:rsid w:val="727452C8"/>
    <w:rsid w:val="727462F3"/>
    <w:rsid w:val="72760055"/>
    <w:rsid w:val="727804BC"/>
    <w:rsid w:val="7278201F"/>
    <w:rsid w:val="7278340F"/>
    <w:rsid w:val="72804262"/>
    <w:rsid w:val="72816318"/>
    <w:rsid w:val="728E0791"/>
    <w:rsid w:val="728E539F"/>
    <w:rsid w:val="72936E59"/>
    <w:rsid w:val="7294672D"/>
    <w:rsid w:val="72990ADE"/>
    <w:rsid w:val="72A32C3B"/>
    <w:rsid w:val="72B1108D"/>
    <w:rsid w:val="72BA43E6"/>
    <w:rsid w:val="72BE21C7"/>
    <w:rsid w:val="72BE7843"/>
    <w:rsid w:val="72C40DC1"/>
    <w:rsid w:val="72C932B3"/>
    <w:rsid w:val="72C97771"/>
    <w:rsid w:val="72CB50B7"/>
    <w:rsid w:val="72D03C09"/>
    <w:rsid w:val="72D27149"/>
    <w:rsid w:val="72D90860"/>
    <w:rsid w:val="72DD6326"/>
    <w:rsid w:val="72DE1014"/>
    <w:rsid w:val="72E01973"/>
    <w:rsid w:val="72E17BC5"/>
    <w:rsid w:val="72E2393D"/>
    <w:rsid w:val="72E32EEE"/>
    <w:rsid w:val="72EA552C"/>
    <w:rsid w:val="72EB3D62"/>
    <w:rsid w:val="72EC5205"/>
    <w:rsid w:val="72ED47BB"/>
    <w:rsid w:val="72EF0B24"/>
    <w:rsid w:val="72F044A1"/>
    <w:rsid w:val="72F0605A"/>
    <w:rsid w:val="72F13B80"/>
    <w:rsid w:val="72F47439"/>
    <w:rsid w:val="72F8006B"/>
    <w:rsid w:val="72F964C4"/>
    <w:rsid w:val="72FA2A34"/>
    <w:rsid w:val="72FA6ED8"/>
    <w:rsid w:val="72FD25B4"/>
    <w:rsid w:val="73076EFF"/>
    <w:rsid w:val="730B2601"/>
    <w:rsid w:val="730B45CC"/>
    <w:rsid w:val="730D6C0C"/>
    <w:rsid w:val="730E4161"/>
    <w:rsid w:val="73122968"/>
    <w:rsid w:val="731358A4"/>
    <w:rsid w:val="73137F9A"/>
    <w:rsid w:val="73166BF8"/>
    <w:rsid w:val="731768EE"/>
    <w:rsid w:val="7318178E"/>
    <w:rsid w:val="731F249B"/>
    <w:rsid w:val="731F5D5E"/>
    <w:rsid w:val="7322382B"/>
    <w:rsid w:val="73227F26"/>
    <w:rsid w:val="73247389"/>
    <w:rsid w:val="732C4A14"/>
    <w:rsid w:val="732E26DE"/>
    <w:rsid w:val="73345C89"/>
    <w:rsid w:val="73357D21"/>
    <w:rsid w:val="733A6AF9"/>
    <w:rsid w:val="734343DB"/>
    <w:rsid w:val="73440153"/>
    <w:rsid w:val="73455DD7"/>
    <w:rsid w:val="73465C7A"/>
    <w:rsid w:val="73522870"/>
    <w:rsid w:val="7352461E"/>
    <w:rsid w:val="73532145"/>
    <w:rsid w:val="735760D9"/>
    <w:rsid w:val="735966C2"/>
    <w:rsid w:val="735A37F4"/>
    <w:rsid w:val="735E1215"/>
    <w:rsid w:val="73600575"/>
    <w:rsid w:val="73661E78"/>
    <w:rsid w:val="736A4742"/>
    <w:rsid w:val="736D0FD2"/>
    <w:rsid w:val="736F73AB"/>
    <w:rsid w:val="737C41E4"/>
    <w:rsid w:val="737F2F3A"/>
    <w:rsid w:val="7384537E"/>
    <w:rsid w:val="7386251A"/>
    <w:rsid w:val="738F3E27"/>
    <w:rsid w:val="73970663"/>
    <w:rsid w:val="739A7D73"/>
    <w:rsid w:val="739F538A"/>
    <w:rsid w:val="73A16002"/>
    <w:rsid w:val="73A17354"/>
    <w:rsid w:val="73B76B77"/>
    <w:rsid w:val="73BE1CB4"/>
    <w:rsid w:val="73BF77DA"/>
    <w:rsid w:val="73C11831"/>
    <w:rsid w:val="73C51AD5"/>
    <w:rsid w:val="73C54028"/>
    <w:rsid w:val="73C92407"/>
    <w:rsid w:val="73CF2113"/>
    <w:rsid w:val="73D83687"/>
    <w:rsid w:val="73D96F89"/>
    <w:rsid w:val="73DE3FB3"/>
    <w:rsid w:val="73E3171A"/>
    <w:rsid w:val="73E536E4"/>
    <w:rsid w:val="73E92C85"/>
    <w:rsid w:val="73EA31C8"/>
    <w:rsid w:val="73EB2A12"/>
    <w:rsid w:val="73EC4A73"/>
    <w:rsid w:val="73F568C5"/>
    <w:rsid w:val="73F90F3E"/>
    <w:rsid w:val="73FA3FFC"/>
    <w:rsid w:val="73FC458A"/>
    <w:rsid w:val="74065409"/>
    <w:rsid w:val="740C6EC3"/>
    <w:rsid w:val="741369EC"/>
    <w:rsid w:val="74177616"/>
    <w:rsid w:val="741E793C"/>
    <w:rsid w:val="74213FF1"/>
    <w:rsid w:val="742302A4"/>
    <w:rsid w:val="742A633F"/>
    <w:rsid w:val="742D334E"/>
    <w:rsid w:val="742F0C21"/>
    <w:rsid w:val="742F1ED1"/>
    <w:rsid w:val="743326A2"/>
    <w:rsid w:val="74394C6F"/>
    <w:rsid w:val="743B06B5"/>
    <w:rsid w:val="74485A21"/>
    <w:rsid w:val="744A1799"/>
    <w:rsid w:val="744B0CE1"/>
    <w:rsid w:val="745054B7"/>
    <w:rsid w:val="74575C64"/>
    <w:rsid w:val="74580127"/>
    <w:rsid w:val="74592EE3"/>
    <w:rsid w:val="745B39A7"/>
    <w:rsid w:val="745E3944"/>
    <w:rsid w:val="74635C45"/>
    <w:rsid w:val="7464244A"/>
    <w:rsid w:val="74646B7A"/>
    <w:rsid w:val="746740F9"/>
    <w:rsid w:val="74694D85"/>
    <w:rsid w:val="746D1305"/>
    <w:rsid w:val="746F1ED0"/>
    <w:rsid w:val="74730CF0"/>
    <w:rsid w:val="74745056"/>
    <w:rsid w:val="747A4FC4"/>
    <w:rsid w:val="747A61FA"/>
    <w:rsid w:val="747D1B6F"/>
    <w:rsid w:val="74841862"/>
    <w:rsid w:val="74850A24"/>
    <w:rsid w:val="74880C86"/>
    <w:rsid w:val="749018A2"/>
    <w:rsid w:val="7491561A"/>
    <w:rsid w:val="74917E86"/>
    <w:rsid w:val="74934EEE"/>
    <w:rsid w:val="74996FAB"/>
    <w:rsid w:val="749C30D5"/>
    <w:rsid w:val="749F1AE5"/>
    <w:rsid w:val="74B36DE7"/>
    <w:rsid w:val="74B44678"/>
    <w:rsid w:val="74BA06CD"/>
    <w:rsid w:val="74BD0634"/>
    <w:rsid w:val="74BD640F"/>
    <w:rsid w:val="74BD6E36"/>
    <w:rsid w:val="74BE7A92"/>
    <w:rsid w:val="74C0380A"/>
    <w:rsid w:val="74C5739E"/>
    <w:rsid w:val="74C8008A"/>
    <w:rsid w:val="74CD6D41"/>
    <w:rsid w:val="74D840CE"/>
    <w:rsid w:val="74DB70E8"/>
    <w:rsid w:val="74E00800"/>
    <w:rsid w:val="74E120FE"/>
    <w:rsid w:val="74E219D2"/>
    <w:rsid w:val="74E41BEE"/>
    <w:rsid w:val="74E4245E"/>
    <w:rsid w:val="74E84E57"/>
    <w:rsid w:val="74E90FB2"/>
    <w:rsid w:val="74EA5E12"/>
    <w:rsid w:val="74EC4AD0"/>
    <w:rsid w:val="74F160B9"/>
    <w:rsid w:val="74FC4CBB"/>
    <w:rsid w:val="75037E14"/>
    <w:rsid w:val="75045ABA"/>
    <w:rsid w:val="750A0F4D"/>
    <w:rsid w:val="750A2CD7"/>
    <w:rsid w:val="750E27C7"/>
    <w:rsid w:val="75100586"/>
    <w:rsid w:val="7510653F"/>
    <w:rsid w:val="751419E5"/>
    <w:rsid w:val="75151DA7"/>
    <w:rsid w:val="751B26E6"/>
    <w:rsid w:val="752139DC"/>
    <w:rsid w:val="752423AB"/>
    <w:rsid w:val="75243D99"/>
    <w:rsid w:val="752A176E"/>
    <w:rsid w:val="752C0A0B"/>
    <w:rsid w:val="752C70F1"/>
    <w:rsid w:val="75305499"/>
    <w:rsid w:val="75385A96"/>
    <w:rsid w:val="753C4E7A"/>
    <w:rsid w:val="753F3849"/>
    <w:rsid w:val="754168EB"/>
    <w:rsid w:val="75462037"/>
    <w:rsid w:val="75491A51"/>
    <w:rsid w:val="754C7B6B"/>
    <w:rsid w:val="754F4B5F"/>
    <w:rsid w:val="754F7EA3"/>
    <w:rsid w:val="7550061B"/>
    <w:rsid w:val="755021A7"/>
    <w:rsid w:val="75502449"/>
    <w:rsid w:val="75504B8E"/>
    <w:rsid w:val="75531CD2"/>
    <w:rsid w:val="7555297D"/>
    <w:rsid w:val="75575F1C"/>
    <w:rsid w:val="755A1EB0"/>
    <w:rsid w:val="755F74C6"/>
    <w:rsid w:val="7561323F"/>
    <w:rsid w:val="756D1BE3"/>
    <w:rsid w:val="756D573F"/>
    <w:rsid w:val="757065DC"/>
    <w:rsid w:val="75742F72"/>
    <w:rsid w:val="757C3BD5"/>
    <w:rsid w:val="757F3545"/>
    <w:rsid w:val="75866801"/>
    <w:rsid w:val="75894140"/>
    <w:rsid w:val="758B02BC"/>
    <w:rsid w:val="758E4FDA"/>
    <w:rsid w:val="758F7AE9"/>
    <w:rsid w:val="7593409F"/>
    <w:rsid w:val="75954C96"/>
    <w:rsid w:val="759E179B"/>
    <w:rsid w:val="75A60C51"/>
    <w:rsid w:val="75A83A68"/>
    <w:rsid w:val="75A849CA"/>
    <w:rsid w:val="75AF5D58"/>
    <w:rsid w:val="75B234DF"/>
    <w:rsid w:val="75B67220"/>
    <w:rsid w:val="75B72E5F"/>
    <w:rsid w:val="75B74C0D"/>
    <w:rsid w:val="75BA46FD"/>
    <w:rsid w:val="75C668B5"/>
    <w:rsid w:val="75CB690A"/>
    <w:rsid w:val="75CD4430"/>
    <w:rsid w:val="75CD6CC8"/>
    <w:rsid w:val="75D43A11"/>
    <w:rsid w:val="75D51537"/>
    <w:rsid w:val="75D561AB"/>
    <w:rsid w:val="75DB17C0"/>
    <w:rsid w:val="75DC4673"/>
    <w:rsid w:val="75E20B82"/>
    <w:rsid w:val="75E942AE"/>
    <w:rsid w:val="75EA741F"/>
    <w:rsid w:val="75EB0D5A"/>
    <w:rsid w:val="75ED4AD2"/>
    <w:rsid w:val="75EF4E67"/>
    <w:rsid w:val="75F145C2"/>
    <w:rsid w:val="75F25C45"/>
    <w:rsid w:val="75F94AFB"/>
    <w:rsid w:val="75FB0F9D"/>
    <w:rsid w:val="75FE43F3"/>
    <w:rsid w:val="75FE4FB7"/>
    <w:rsid w:val="75FF379C"/>
    <w:rsid w:val="7601057E"/>
    <w:rsid w:val="760112AB"/>
    <w:rsid w:val="76012D16"/>
    <w:rsid w:val="760140DA"/>
    <w:rsid w:val="76023500"/>
    <w:rsid w:val="760360A4"/>
    <w:rsid w:val="760827FE"/>
    <w:rsid w:val="761107C1"/>
    <w:rsid w:val="76157B85"/>
    <w:rsid w:val="761A519B"/>
    <w:rsid w:val="761C0F14"/>
    <w:rsid w:val="761C7166"/>
    <w:rsid w:val="761D5966"/>
    <w:rsid w:val="76201519"/>
    <w:rsid w:val="76261D92"/>
    <w:rsid w:val="76264BB2"/>
    <w:rsid w:val="762878B8"/>
    <w:rsid w:val="763058CA"/>
    <w:rsid w:val="76336F4A"/>
    <w:rsid w:val="7635099D"/>
    <w:rsid w:val="76380C58"/>
    <w:rsid w:val="763A124D"/>
    <w:rsid w:val="763D47C8"/>
    <w:rsid w:val="76426C7D"/>
    <w:rsid w:val="76487F5B"/>
    <w:rsid w:val="764A3CD3"/>
    <w:rsid w:val="764C566E"/>
    <w:rsid w:val="764F3EF5"/>
    <w:rsid w:val="76507CE7"/>
    <w:rsid w:val="76534546"/>
    <w:rsid w:val="76595CC4"/>
    <w:rsid w:val="76615DA7"/>
    <w:rsid w:val="7662101C"/>
    <w:rsid w:val="76792BFD"/>
    <w:rsid w:val="767B0330"/>
    <w:rsid w:val="767B1061"/>
    <w:rsid w:val="768076F4"/>
    <w:rsid w:val="76830F93"/>
    <w:rsid w:val="76851A43"/>
    <w:rsid w:val="768865A9"/>
    <w:rsid w:val="768A40CF"/>
    <w:rsid w:val="768C42EB"/>
    <w:rsid w:val="769B62DC"/>
    <w:rsid w:val="769D4F91"/>
    <w:rsid w:val="76A01C4E"/>
    <w:rsid w:val="76A551D1"/>
    <w:rsid w:val="76A5715B"/>
    <w:rsid w:val="76A74C81"/>
    <w:rsid w:val="76A91D0A"/>
    <w:rsid w:val="76A96444"/>
    <w:rsid w:val="76B86E8E"/>
    <w:rsid w:val="76B87645"/>
    <w:rsid w:val="76BA0E58"/>
    <w:rsid w:val="76BD0DA7"/>
    <w:rsid w:val="76BF43FB"/>
    <w:rsid w:val="76BF646F"/>
    <w:rsid w:val="76C330D6"/>
    <w:rsid w:val="76CD220E"/>
    <w:rsid w:val="76D37824"/>
    <w:rsid w:val="76D417EE"/>
    <w:rsid w:val="76D57A40"/>
    <w:rsid w:val="76D956B1"/>
    <w:rsid w:val="76DC7D50"/>
    <w:rsid w:val="76DF328E"/>
    <w:rsid w:val="76E028BD"/>
    <w:rsid w:val="76E23F0B"/>
    <w:rsid w:val="76E42A00"/>
    <w:rsid w:val="76E47C83"/>
    <w:rsid w:val="76E61C4D"/>
    <w:rsid w:val="76E71522"/>
    <w:rsid w:val="76F459ED"/>
    <w:rsid w:val="76FD6F97"/>
    <w:rsid w:val="770519A8"/>
    <w:rsid w:val="771147F0"/>
    <w:rsid w:val="77185B7F"/>
    <w:rsid w:val="771A4218"/>
    <w:rsid w:val="771B7879"/>
    <w:rsid w:val="771C0849"/>
    <w:rsid w:val="77207BB4"/>
    <w:rsid w:val="772C33D8"/>
    <w:rsid w:val="77304C77"/>
    <w:rsid w:val="77340361"/>
    <w:rsid w:val="77387FCF"/>
    <w:rsid w:val="773D156A"/>
    <w:rsid w:val="773D3837"/>
    <w:rsid w:val="773D7394"/>
    <w:rsid w:val="773E475A"/>
    <w:rsid w:val="77497A2E"/>
    <w:rsid w:val="774B1AB0"/>
    <w:rsid w:val="774E15A1"/>
    <w:rsid w:val="774E77F3"/>
    <w:rsid w:val="775342C9"/>
    <w:rsid w:val="775E5C88"/>
    <w:rsid w:val="775F2C73"/>
    <w:rsid w:val="77640315"/>
    <w:rsid w:val="776D29D8"/>
    <w:rsid w:val="776D3CF7"/>
    <w:rsid w:val="77737259"/>
    <w:rsid w:val="77762421"/>
    <w:rsid w:val="777A2396"/>
    <w:rsid w:val="77804B49"/>
    <w:rsid w:val="7782448E"/>
    <w:rsid w:val="778576B9"/>
    <w:rsid w:val="77862AE9"/>
    <w:rsid w:val="778927A3"/>
    <w:rsid w:val="77895A1A"/>
    <w:rsid w:val="778B6986"/>
    <w:rsid w:val="778D0971"/>
    <w:rsid w:val="778F0A16"/>
    <w:rsid w:val="77983600"/>
    <w:rsid w:val="77995178"/>
    <w:rsid w:val="779A2A38"/>
    <w:rsid w:val="779B2555"/>
    <w:rsid w:val="779E5D36"/>
    <w:rsid w:val="77A17922"/>
    <w:rsid w:val="77A80CB1"/>
    <w:rsid w:val="77AF36C2"/>
    <w:rsid w:val="77AF64E3"/>
    <w:rsid w:val="77B05DB7"/>
    <w:rsid w:val="77B56B1F"/>
    <w:rsid w:val="77B751D7"/>
    <w:rsid w:val="77BA388D"/>
    <w:rsid w:val="77BA6C36"/>
    <w:rsid w:val="77BC0AD8"/>
    <w:rsid w:val="77BC29AE"/>
    <w:rsid w:val="77C32833"/>
    <w:rsid w:val="77C50AB9"/>
    <w:rsid w:val="77C655DB"/>
    <w:rsid w:val="77CC2194"/>
    <w:rsid w:val="77D221D2"/>
    <w:rsid w:val="77D5663D"/>
    <w:rsid w:val="77D575CC"/>
    <w:rsid w:val="77D71596"/>
    <w:rsid w:val="77D93560"/>
    <w:rsid w:val="77DC095A"/>
    <w:rsid w:val="77DC4C27"/>
    <w:rsid w:val="77DE2925"/>
    <w:rsid w:val="77E24114"/>
    <w:rsid w:val="77E31CE9"/>
    <w:rsid w:val="77E545C7"/>
    <w:rsid w:val="77E813E3"/>
    <w:rsid w:val="77E93077"/>
    <w:rsid w:val="77EA5316"/>
    <w:rsid w:val="77EB4828"/>
    <w:rsid w:val="77EC4C19"/>
    <w:rsid w:val="77ED700C"/>
    <w:rsid w:val="77ED7C09"/>
    <w:rsid w:val="77EF4B32"/>
    <w:rsid w:val="77F02658"/>
    <w:rsid w:val="77F4039A"/>
    <w:rsid w:val="77F70CDE"/>
    <w:rsid w:val="77FC247B"/>
    <w:rsid w:val="780177D1"/>
    <w:rsid w:val="78056C64"/>
    <w:rsid w:val="780A5AD6"/>
    <w:rsid w:val="780F09F4"/>
    <w:rsid w:val="780F0D30"/>
    <w:rsid w:val="780F11D9"/>
    <w:rsid w:val="78107C26"/>
    <w:rsid w:val="78153AD7"/>
    <w:rsid w:val="781C169F"/>
    <w:rsid w:val="78234999"/>
    <w:rsid w:val="78261119"/>
    <w:rsid w:val="7826619A"/>
    <w:rsid w:val="78267E28"/>
    <w:rsid w:val="782A1199"/>
    <w:rsid w:val="782E37D3"/>
    <w:rsid w:val="78330616"/>
    <w:rsid w:val="78387FCF"/>
    <w:rsid w:val="783D29CC"/>
    <w:rsid w:val="783E2D3A"/>
    <w:rsid w:val="78485EB0"/>
    <w:rsid w:val="784B78FE"/>
    <w:rsid w:val="78526E6F"/>
    <w:rsid w:val="785726D7"/>
    <w:rsid w:val="786646C8"/>
    <w:rsid w:val="78675B7A"/>
    <w:rsid w:val="786848E4"/>
    <w:rsid w:val="786A576C"/>
    <w:rsid w:val="786C6182"/>
    <w:rsid w:val="786E5747"/>
    <w:rsid w:val="786F50F4"/>
    <w:rsid w:val="78760217"/>
    <w:rsid w:val="7879089F"/>
    <w:rsid w:val="787E1A12"/>
    <w:rsid w:val="78814EDA"/>
    <w:rsid w:val="78947487"/>
    <w:rsid w:val="78966330"/>
    <w:rsid w:val="7899684C"/>
    <w:rsid w:val="789C633C"/>
    <w:rsid w:val="78A05845"/>
    <w:rsid w:val="78A07DE3"/>
    <w:rsid w:val="78A539B5"/>
    <w:rsid w:val="78A551F0"/>
    <w:rsid w:val="78A653A2"/>
    <w:rsid w:val="78A90480"/>
    <w:rsid w:val="78AA47FD"/>
    <w:rsid w:val="78AC2A23"/>
    <w:rsid w:val="78AE7E54"/>
    <w:rsid w:val="78B06666"/>
    <w:rsid w:val="78B54058"/>
    <w:rsid w:val="78BA350F"/>
    <w:rsid w:val="78BC253A"/>
    <w:rsid w:val="78BE62B2"/>
    <w:rsid w:val="78C07102"/>
    <w:rsid w:val="78C3420A"/>
    <w:rsid w:val="78C80EDF"/>
    <w:rsid w:val="78D15A2C"/>
    <w:rsid w:val="78D30FD8"/>
    <w:rsid w:val="78D67AA0"/>
    <w:rsid w:val="78E54C10"/>
    <w:rsid w:val="78E73A5B"/>
    <w:rsid w:val="78ED1C07"/>
    <w:rsid w:val="78ED7158"/>
    <w:rsid w:val="78F376F1"/>
    <w:rsid w:val="78F47F26"/>
    <w:rsid w:val="78F56291"/>
    <w:rsid w:val="78F947F6"/>
    <w:rsid w:val="78FE2EA1"/>
    <w:rsid w:val="79015521"/>
    <w:rsid w:val="790535E6"/>
    <w:rsid w:val="79054FD9"/>
    <w:rsid w:val="790D64D0"/>
    <w:rsid w:val="791505C8"/>
    <w:rsid w:val="791534AC"/>
    <w:rsid w:val="79203F00"/>
    <w:rsid w:val="792611F2"/>
    <w:rsid w:val="79284C3E"/>
    <w:rsid w:val="792B66D1"/>
    <w:rsid w:val="792C2C71"/>
    <w:rsid w:val="792C4126"/>
    <w:rsid w:val="792F71B0"/>
    <w:rsid w:val="79310BBA"/>
    <w:rsid w:val="79352A18"/>
    <w:rsid w:val="793A5D64"/>
    <w:rsid w:val="793D400A"/>
    <w:rsid w:val="793E1117"/>
    <w:rsid w:val="79402D4A"/>
    <w:rsid w:val="79404F19"/>
    <w:rsid w:val="79420C91"/>
    <w:rsid w:val="794675DB"/>
    <w:rsid w:val="794F7A2E"/>
    <w:rsid w:val="79534C4C"/>
    <w:rsid w:val="7953636A"/>
    <w:rsid w:val="7956298E"/>
    <w:rsid w:val="79565D2F"/>
    <w:rsid w:val="79570BE0"/>
    <w:rsid w:val="795C61F7"/>
    <w:rsid w:val="795F1258"/>
    <w:rsid w:val="795F1843"/>
    <w:rsid w:val="79601F98"/>
    <w:rsid w:val="7961380D"/>
    <w:rsid w:val="79637D04"/>
    <w:rsid w:val="796B75D0"/>
    <w:rsid w:val="796E05DB"/>
    <w:rsid w:val="7972394D"/>
    <w:rsid w:val="79733540"/>
    <w:rsid w:val="797626B5"/>
    <w:rsid w:val="79772ADB"/>
    <w:rsid w:val="797D7F1B"/>
    <w:rsid w:val="79823784"/>
    <w:rsid w:val="79856DD0"/>
    <w:rsid w:val="798C015E"/>
    <w:rsid w:val="79905EA0"/>
    <w:rsid w:val="79A133FC"/>
    <w:rsid w:val="79A27982"/>
    <w:rsid w:val="79A454A8"/>
    <w:rsid w:val="79AC5A1F"/>
    <w:rsid w:val="79B778D1"/>
    <w:rsid w:val="79B803AA"/>
    <w:rsid w:val="79BA4CCB"/>
    <w:rsid w:val="79BB17CA"/>
    <w:rsid w:val="79BD47BC"/>
    <w:rsid w:val="79C70061"/>
    <w:rsid w:val="79CD4BAD"/>
    <w:rsid w:val="79CD540B"/>
    <w:rsid w:val="79CF2885"/>
    <w:rsid w:val="79D00993"/>
    <w:rsid w:val="79D33E02"/>
    <w:rsid w:val="79D42567"/>
    <w:rsid w:val="79D613AF"/>
    <w:rsid w:val="79D649E4"/>
    <w:rsid w:val="79DF0BD6"/>
    <w:rsid w:val="79E24222"/>
    <w:rsid w:val="79E9735F"/>
    <w:rsid w:val="79ED1728"/>
    <w:rsid w:val="79ED32F3"/>
    <w:rsid w:val="79F034E3"/>
    <w:rsid w:val="79F71A7C"/>
    <w:rsid w:val="79FA5A10"/>
    <w:rsid w:val="79FB72EC"/>
    <w:rsid w:val="79FC3536"/>
    <w:rsid w:val="7A0A5C53"/>
    <w:rsid w:val="7A0C5481"/>
    <w:rsid w:val="7A0D74F1"/>
    <w:rsid w:val="7A100D8F"/>
    <w:rsid w:val="7A140880"/>
    <w:rsid w:val="7A1A5B66"/>
    <w:rsid w:val="7A1C7734"/>
    <w:rsid w:val="7A232871"/>
    <w:rsid w:val="7A2425F1"/>
    <w:rsid w:val="7A2605B3"/>
    <w:rsid w:val="7A26060F"/>
    <w:rsid w:val="7A284987"/>
    <w:rsid w:val="7A2A2AE7"/>
    <w:rsid w:val="7A2B0446"/>
    <w:rsid w:val="7A2B3E1B"/>
    <w:rsid w:val="7A2B5BC9"/>
    <w:rsid w:val="7A331307"/>
    <w:rsid w:val="7A364017"/>
    <w:rsid w:val="7A36780D"/>
    <w:rsid w:val="7A3727C0"/>
    <w:rsid w:val="7A37631C"/>
    <w:rsid w:val="7A3B22B0"/>
    <w:rsid w:val="7A405385"/>
    <w:rsid w:val="7A406FE4"/>
    <w:rsid w:val="7A4078C7"/>
    <w:rsid w:val="7A421E4D"/>
    <w:rsid w:val="7A444689"/>
    <w:rsid w:val="7A480529"/>
    <w:rsid w:val="7A4E5206"/>
    <w:rsid w:val="7A5275FA"/>
    <w:rsid w:val="7A535005"/>
    <w:rsid w:val="7A551C2F"/>
    <w:rsid w:val="7A562416"/>
    <w:rsid w:val="7A5A025C"/>
    <w:rsid w:val="7A5A4FCE"/>
    <w:rsid w:val="7A6763F4"/>
    <w:rsid w:val="7A6A4943"/>
    <w:rsid w:val="7A7E3F4B"/>
    <w:rsid w:val="7A8265E1"/>
    <w:rsid w:val="7A866077"/>
    <w:rsid w:val="7A875A0F"/>
    <w:rsid w:val="7A8A7D49"/>
    <w:rsid w:val="7A907888"/>
    <w:rsid w:val="7A9279F6"/>
    <w:rsid w:val="7A93433B"/>
    <w:rsid w:val="7A953220"/>
    <w:rsid w:val="7A9A0475"/>
    <w:rsid w:val="7A9E2C86"/>
    <w:rsid w:val="7AA254FD"/>
    <w:rsid w:val="7AA34993"/>
    <w:rsid w:val="7AA65FB6"/>
    <w:rsid w:val="7AA72953"/>
    <w:rsid w:val="7AA76C4E"/>
    <w:rsid w:val="7AA93B38"/>
    <w:rsid w:val="7AAF05A8"/>
    <w:rsid w:val="7AAF7244"/>
    <w:rsid w:val="7AB1326F"/>
    <w:rsid w:val="7AB67B89"/>
    <w:rsid w:val="7ABB519F"/>
    <w:rsid w:val="7ABD581D"/>
    <w:rsid w:val="7AC46F6C"/>
    <w:rsid w:val="7AC55CA1"/>
    <w:rsid w:val="7AC63366"/>
    <w:rsid w:val="7AC758F2"/>
    <w:rsid w:val="7AC8166A"/>
    <w:rsid w:val="7ACA6CE1"/>
    <w:rsid w:val="7ACB273B"/>
    <w:rsid w:val="7ACB4CB6"/>
    <w:rsid w:val="7ACD4B8C"/>
    <w:rsid w:val="7AD324E9"/>
    <w:rsid w:val="7AD40A93"/>
    <w:rsid w:val="7AE01643"/>
    <w:rsid w:val="7AE05356"/>
    <w:rsid w:val="7AE4556E"/>
    <w:rsid w:val="7AE61E7C"/>
    <w:rsid w:val="7AEC35AA"/>
    <w:rsid w:val="7AED10D1"/>
    <w:rsid w:val="7AF02269"/>
    <w:rsid w:val="7AF23FDB"/>
    <w:rsid w:val="7AF40ED0"/>
    <w:rsid w:val="7AF921E3"/>
    <w:rsid w:val="7AF97A75"/>
    <w:rsid w:val="7B072192"/>
    <w:rsid w:val="7B0A3A31"/>
    <w:rsid w:val="7B11298E"/>
    <w:rsid w:val="7B1348CB"/>
    <w:rsid w:val="7B1D4732"/>
    <w:rsid w:val="7B220D7A"/>
    <w:rsid w:val="7B242D44"/>
    <w:rsid w:val="7B252618"/>
    <w:rsid w:val="7B274003"/>
    <w:rsid w:val="7B2922FE"/>
    <w:rsid w:val="7B2F3497"/>
    <w:rsid w:val="7B30771F"/>
    <w:rsid w:val="7B336426"/>
    <w:rsid w:val="7B35491B"/>
    <w:rsid w:val="7B364826"/>
    <w:rsid w:val="7B387C4C"/>
    <w:rsid w:val="7B3D4DC9"/>
    <w:rsid w:val="7B3F44E4"/>
    <w:rsid w:val="7B4231CA"/>
    <w:rsid w:val="7B437919"/>
    <w:rsid w:val="7B450F0D"/>
    <w:rsid w:val="7B455BC8"/>
    <w:rsid w:val="7B484947"/>
    <w:rsid w:val="7B485969"/>
    <w:rsid w:val="7B4C0B2B"/>
    <w:rsid w:val="7B4F7FD0"/>
    <w:rsid w:val="7B551150"/>
    <w:rsid w:val="7B57131E"/>
    <w:rsid w:val="7B5729C6"/>
    <w:rsid w:val="7B5C11A5"/>
    <w:rsid w:val="7B5D43F7"/>
    <w:rsid w:val="7B5D6256"/>
    <w:rsid w:val="7B62386D"/>
    <w:rsid w:val="7B636018"/>
    <w:rsid w:val="7B64463A"/>
    <w:rsid w:val="7B684EBF"/>
    <w:rsid w:val="7B686D42"/>
    <w:rsid w:val="7B694AFF"/>
    <w:rsid w:val="7B694BFB"/>
    <w:rsid w:val="7B6A569E"/>
    <w:rsid w:val="7B6C0247"/>
    <w:rsid w:val="7B713AB0"/>
    <w:rsid w:val="7B7315D6"/>
    <w:rsid w:val="7B7641A3"/>
    <w:rsid w:val="7B7A6E08"/>
    <w:rsid w:val="7B7B2714"/>
    <w:rsid w:val="7B821819"/>
    <w:rsid w:val="7B841746"/>
    <w:rsid w:val="7B845591"/>
    <w:rsid w:val="7B857D92"/>
    <w:rsid w:val="7B890DF9"/>
    <w:rsid w:val="7B892BA7"/>
    <w:rsid w:val="7B8C52F2"/>
    <w:rsid w:val="7B9559F0"/>
    <w:rsid w:val="7B9B0B2D"/>
    <w:rsid w:val="7BA07F4A"/>
    <w:rsid w:val="7BA14395"/>
    <w:rsid w:val="7BA23C69"/>
    <w:rsid w:val="7BA427E3"/>
    <w:rsid w:val="7BA45C33"/>
    <w:rsid w:val="7BA63E5D"/>
    <w:rsid w:val="7BAF0414"/>
    <w:rsid w:val="7BB321A9"/>
    <w:rsid w:val="7BB51BEE"/>
    <w:rsid w:val="7BB523CA"/>
    <w:rsid w:val="7BB57E40"/>
    <w:rsid w:val="7BBB2287"/>
    <w:rsid w:val="7BC04950"/>
    <w:rsid w:val="7BC27056"/>
    <w:rsid w:val="7BC30C42"/>
    <w:rsid w:val="7BC35E8F"/>
    <w:rsid w:val="7BC62C11"/>
    <w:rsid w:val="7BCB31C0"/>
    <w:rsid w:val="7BD90672"/>
    <w:rsid w:val="7BDB485C"/>
    <w:rsid w:val="7BDB5905"/>
    <w:rsid w:val="7BDD1145"/>
    <w:rsid w:val="7BE0599C"/>
    <w:rsid w:val="7BE06CE6"/>
    <w:rsid w:val="7BEE5100"/>
    <w:rsid w:val="7BEF172E"/>
    <w:rsid w:val="7BF02C26"/>
    <w:rsid w:val="7BF1074D"/>
    <w:rsid w:val="7BF72207"/>
    <w:rsid w:val="7BF81ADB"/>
    <w:rsid w:val="7BFE17E7"/>
    <w:rsid w:val="7C045DFE"/>
    <w:rsid w:val="7C080CBB"/>
    <w:rsid w:val="7C0A5318"/>
    <w:rsid w:val="7C11076F"/>
    <w:rsid w:val="7C1139ED"/>
    <w:rsid w:val="7C126E6B"/>
    <w:rsid w:val="7C142DB9"/>
    <w:rsid w:val="7C1728A9"/>
    <w:rsid w:val="7C1B2291"/>
    <w:rsid w:val="7C1C1C6D"/>
    <w:rsid w:val="7C26489A"/>
    <w:rsid w:val="7C27197F"/>
    <w:rsid w:val="7C2D40AF"/>
    <w:rsid w:val="7C2E19A1"/>
    <w:rsid w:val="7C30396B"/>
    <w:rsid w:val="7C3052A9"/>
    <w:rsid w:val="7C365C2B"/>
    <w:rsid w:val="7C370855"/>
    <w:rsid w:val="7C3C2B1D"/>
    <w:rsid w:val="7C3E7E36"/>
    <w:rsid w:val="7C433AEA"/>
    <w:rsid w:val="7C4411C4"/>
    <w:rsid w:val="7C4E7C16"/>
    <w:rsid w:val="7C501917"/>
    <w:rsid w:val="7C5032F7"/>
    <w:rsid w:val="7C5335DF"/>
    <w:rsid w:val="7C5F7DAC"/>
    <w:rsid w:val="7C62550A"/>
    <w:rsid w:val="7C6929D9"/>
    <w:rsid w:val="7C6C5AC7"/>
    <w:rsid w:val="7C6D0903"/>
    <w:rsid w:val="7C6E431F"/>
    <w:rsid w:val="7C7575D0"/>
    <w:rsid w:val="7C7F72E5"/>
    <w:rsid w:val="7C8415C1"/>
    <w:rsid w:val="7C891815"/>
    <w:rsid w:val="7C892736"/>
    <w:rsid w:val="7C96222A"/>
    <w:rsid w:val="7C977546"/>
    <w:rsid w:val="7C9901F9"/>
    <w:rsid w:val="7C9A44E1"/>
    <w:rsid w:val="7C9C4B5C"/>
    <w:rsid w:val="7C9E26E9"/>
    <w:rsid w:val="7CA141B5"/>
    <w:rsid w:val="7CA75694"/>
    <w:rsid w:val="7CA809EE"/>
    <w:rsid w:val="7CAB350D"/>
    <w:rsid w:val="7CAB7567"/>
    <w:rsid w:val="7CAF4890"/>
    <w:rsid w:val="7CB22D69"/>
    <w:rsid w:val="7CC6544B"/>
    <w:rsid w:val="7CC876FF"/>
    <w:rsid w:val="7CCD11BA"/>
    <w:rsid w:val="7CCD1363"/>
    <w:rsid w:val="7CCD2078"/>
    <w:rsid w:val="7CCF0A8E"/>
    <w:rsid w:val="7CD460A4"/>
    <w:rsid w:val="7CD662C0"/>
    <w:rsid w:val="7CDF575D"/>
    <w:rsid w:val="7CE16844"/>
    <w:rsid w:val="7CE502B1"/>
    <w:rsid w:val="7CE51720"/>
    <w:rsid w:val="7CEA58C8"/>
    <w:rsid w:val="7CEC561B"/>
    <w:rsid w:val="7CEC5C4A"/>
    <w:rsid w:val="7CEE0D62"/>
    <w:rsid w:val="7CFA519D"/>
    <w:rsid w:val="7CFB7AD5"/>
    <w:rsid w:val="7CFC230E"/>
    <w:rsid w:val="7CFC55FB"/>
    <w:rsid w:val="7CFE5817"/>
    <w:rsid w:val="7D0239FF"/>
    <w:rsid w:val="7D060228"/>
    <w:rsid w:val="7D0C3A90"/>
    <w:rsid w:val="7D0E20A1"/>
    <w:rsid w:val="7D1312C2"/>
    <w:rsid w:val="7D182543"/>
    <w:rsid w:val="7D2922DA"/>
    <w:rsid w:val="7D2D5D2B"/>
    <w:rsid w:val="7D3B1113"/>
    <w:rsid w:val="7D3B6123"/>
    <w:rsid w:val="7D3D1E9B"/>
    <w:rsid w:val="7D3E47D3"/>
    <w:rsid w:val="7D3F20B7"/>
    <w:rsid w:val="7D432570"/>
    <w:rsid w:val="7D4476CE"/>
    <w:rsid w:val="7D494CE4"/>
    <w:rsid w:val="7D4E40A8"/>
    <w:rsid w:val="7D537167"/>
    <w:rsid w:val="7D5B67C5"/>
    <w:rsid w:val="7D5E1E12"/>
    <w:rsid w:val="7D5E40CD"/>
    <w:rsid w:val="7D6238E3"/>
    <w:rsid w:val="7D627D20"/>
    <w:rsid w:val="7D641B1E"/>
    <w:rsid w:val="7D66693E"/>
    <w:rsid w:val="7D6F401F"/>
    <w:rsid w:val="7D6F40C6"/>
    <w:rsid w:val="7D715FE9"/>
    <w:rsid w:val="7D755AD9"/>
    <w:rsid w:val="7D774A43"/>
    <w:rsid w:val="7D782ED3"/>
    <w:rsid w:val="7D7D12B0"/>
    <w:rsid w:val="7D7E7268"/>
    <w:rsid w:val="7D7F430F"/>
    <w:rsid w:val="7D8310E3"/>
    <w:rsid w:val="7D85621F"/>
    <w:rsid w:val="7D8A2C07"/>
    <w:rsid w:val="7D8B0B2F"/>
    <w:rsid w:val="7D902B70"/>
    <w:rsid w:val="7D9615AC"/>
    <w:rsid w:val="7D9A4F38"/>
    <w:rsid w:val="7DA02D5B"/>
    <w:rsid w:val="7DA20E1D"/>
    <w:rsid w:val="7DA522A9"/>
    <w:rsid w:val="7DA57A41"/>
    <w:rsid w:val="7DA82481"/>
    <w:rsid w:val="7DAC0470"/>
    <w:rsid w:val="7DB07AC7"/>
    <w:rsid w:val="7DB71E82"/>
    <w:rsid w:val="7DB771C8"/>
    <w:rsid w:val="7DC94A86"/>
    <w:rsid w:val="7DCC29CA"/>
    <w:rsid w:val="7DCC321F"/>
    <w:rsid w:val="7DCD4AE4"/>
    <w:rsid w:val="7DCD56F2"/>
    <w:rsid w:val="7DCE0BC6"/>
    <w:rsid w:val="7DD67C3A"/>
    <w:rsid w:val="7DD722F0"/>
    <w:rsid w:val="7DE06F9B"/>
    <w:rsid w:val="7DE340F6"/>
    <w:rsid w:val="7DE35092"/>
    <w:rsid w:val="7DE762AB"/>
    <w:rsid w:val="7DE92023"/>
    <w:rsid w:val="7DEB18F7"/>
    <w:rsid w:val="7DED1B13"/>
    <w:rsid w:val="7DF34C50"/>
    <w:rsid w:val="7DF6029C"/>
    <w:rsid w:val="7DFB512D"/>
    <w:rsid w:val="7E026C41"/>
    <w:rsid w:val="7E07746E"/>
    <w:rsid w:val="7E123328"/>
    <w:rsid w:val="7E132BFC"/>
    <w:rsid w:val="7E162BE9"/>
    <w:rsid w:val="7E1F77F3"/>
    <w:rsid w:val="7E21356B"/>
    <w:rsid w:val="7E26043F"/>
    <w:rsid w:val="7E2740D8"/>
    <w:rsid w:val="7E29057A"/>
    <w:rsid w:val="7E2B7987"/>
    <w:rsid w:val="7E2E3EDA"/>
    <w:rsid w:val="7E3109D5"/>
    <w:rsid w:val="7E370FE0"/>
    <w:rsid w:val="7E3B679A"/>
    <w:rsid w:val="7E4454AB"/>
    <w:rsid w:val="7E453A15"/>
    <w:rsid w:val="7E461224"/>
    <w:rsid w:val="7E50667A"/>
    <w:rsid w:val="7E582D05"/>
    <w:rsid w:val="7E5D1429"/>
    <w:rsid w:val="7E617E0B"/>
    <w:rsid w:val="7E633B84"/>
    <w:rsid w:val="7E676EBC"/>
    <w:rsid w:val="7E6960FF"/>
    <w:rsid w:val="7E6B0F45"/>
    <w:rsid w:val="7E6F6EF4"/>
    <w:rsid w:val="7E70326B"/>
    <w:rsid w:val="7E77762F"/>
    <w:rsid w:val="7E7F6679"/>
    <w:rsid w:val="7E7F72F0"/>
    <w:rsid w:val="7E885398"/>
    <w:rsid w:val="7E895EDA"/>
    <w:rsid w:val="7E8B30DA"/>
    <w:rsid w:val="7E8D0C00"/>
    <w:rsid w:val="7E960FCC"/>
    <w:rsid w:val="7E97222C"/>
    <w:rsid w:val="7E9755DB"/>
    <w:rsid w:val="7E9E5C16"/>
    <w:rsid w:val="7EA10942"/>
    <w:rsid w:val="7EA67649"/>
    <w:rsid w:val="7EA85A3A"/>
    <w:rsid w:val="7EA95725"/>
    <w:rsid w:val="7EB401AD"/>
    <w:rsid w:val="7EBB5FD6"/>
    <w:rsid w:val="7EBE700C"/>
    <w:rsid w:val="7EBF6A15"/>
    <w:rsid w:val="7EC0633F"/>
    <w:rsid w:val="7EC81C39"/>
    <w:rsid w:val="7EC977F0"/>
    <w:rsid w:val="7ECB797B"/>
    <w:rsid w:val="7ECC4A14"/>
    <w:rsid w:val="7ED01FAB"/>
    <w:rsid w:val="7ED36DAF"/>
    <w:rsid w:val="7ED90F26"/>
    <w:rsid w:val="7EDA55FE"/>
    <w:rsid w:val="7EDC652F"/>
    <w:rsid w:val="7EDE3865"/>
    <w:rsid w:val="7EDF4285"/>
    <w:rsid w:val="7EE066A1"/>
    <w:rsid w:val="7EE10880"/>
    <w:rsid w:val="7EE14F1F"/>
    <w:rsid w:val="7EED08E2"/>
    <w:rsid w:val="7EF50554"/>
    <w:rsid w:val="7EF8332C"/>
    <w:rsid w:val="7EFB0260"/>
    <w:rsid w:val="7EFB3DBC"/>
    <w:rsid w:val="7F001CE7"/>
    <w:rsid w:val="7F062761"/>
    <w:rsid w:val="7F072DE3"/>
    <w:rsid w:val="7F0A6D29"/>
    <w:rsid w:val="7F0C4DCA"/>
    <w:rsid w:val="7F0C51D0"/>
    <w:rsid w:val="7F10538E"/>
    <w:rsid w:val="7F1121B9"/>
    <w:rsid w:val="7F133581"/>
    <w:rsid w:val="7F17671C"/>
    <w:rsid w:val="7F240C58"/>
    <w:rsid w:val="7F2505F6"/>
    <w:rsid w:val="7F25585E"/>
    <w:rsid w:val="7F2C3AA1"/>
    <w:rsid w:val="7F2F1CB8"/>
    <w:rsid w:val="7F3A2B94"/>
    <w:rsid w:val="7F5B6F99"/>
    <w:rsid w:val="7F5E4D8F"/>
    <w:rsid w:val="7F5E4E7B"/>
    <w:rsid w:val="7F625BE9"/>
    <w:rsid w:val="7F6B137E"/>
    <w:rsid w:val="7F741D5D"/>
    <w:rsid w:val="7F75661B"/>
    <w:rsid w:val="7F7630A9"/>
    <w:rsid w:val="7F774919"/>
    <w:rsid w:val="7F787538"/>
    <w:rsid w:val="7F7D2A23"/>
    <w:rsid w:val="7F880499"/>
    <w:rsid w:val="7F8A2657"/>
    <w:rsid w:val="7F900B2E"/>
    <w:rsid w:val="7F9F5B66"/>
    <w:rsid w:val="7FA206DC"/>
    <w:rsid w:val="7FA316AB"/>
    <w:rsid w:val="7FAA7590"/>
    <w:rsid w:val="7FAC50B6"/>
    <w:rsid w:val="7FAE52D2"/>
    <w:rsid w:val="7FB14DC3"/>
    <w:rsid w:val="7FB81CAD"/>
    <w:rsid w:val="7FB83A5B"/>
    <w:rsid w:val="7FBD5515"/>
    <w:rsid w:val="7FBD72C3"/>
    <w:rsid w:val="7FBF79DB"/>
    <w:rsid w:val="7FC83318"/>
    <w:rsid w:val="7FCE0450"/>
    <w:rsid w:val="7FD05EC9"/>
    <w:rsid w:val="7FD10FC1"/>
    <w:rsid w:val="7FD36AE7"/>
    <w:rsid w:val="7FD4460D"/>
    <w:rsid w:val="7FD5285F"/>
    <w:rsid w:val="7FE01204"/>
    <w:rsid w:val="7FE17456"/>
    <w:rsid w:val="7FE24F7C"/>
    <w:rsid w:val="7FE46423"/>
    <w:rsid w:val="7FE47E50"/>
    <w:rsid w:val="7FE505C8"/>
    <w:rsid w:val="7FE72592"/>
    <w:rsid w:val="7FE87533"/>
    <w:rsid w:val="7FEA5BDF"/>
    <w:rsid w:val="7FEB587C"/>
    <w:rsid w:val="7FF25996"/>
    <w:rsid w:val="7FF510C6"/>
    <w:rsid w:val="7FF8479F"/>
    <w:rsid w:val="7FFB70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qFormat="1" w:uiPriority="0" w:semiHidden="0" w:name="Block Text"/>
    <w:lsdException w:qFormat="1"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qFormat/>
    <w:uiPriority w:val="99"/>
    <w:pPr>
      <w:keepNext/>
      <w:overflowPunct w:val="0"/>
      <w:snapToGrid w:val="0"/>
      <w:spacing w:before="120" w:after="160" w:line="260" w:lineRule="auto"/>
      <w:ind w:left="431" w:hanging="431"/>
      <w:jc w:val="center"/>
      <w:outlineLvl w:val="0"/>
    </w:pPr>
    <w:rPr>
      <w:rFonts w:ascii="Times New Roman" w:hAnsi="Times New Roman" w:eastAsia="宋体"/>
      <w:b/>
      <w:bCs/>
      <w:color w:val="000000"/>
      <w:kern w:val="44"/>
      <w:sz w:val="30"/>
      <w:szCs w:val="30"/>
    </w:rPr>
  </w:style>
  <w:style w:type="paragraph" w:styleId="3">
    <w:name w:val="heading 2"/>
    <w:basedOn w:val="1"/>
    <w:next w:val="1"/>
    <w:link w:val="49"/>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43"/>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6">
    <w:name w:val="annotation text"/>
    <w:basedOn w:val="1"/>
    <w:link w:val="50"/>
    <w:semiHidden/>
    <w:qFormat/>
    <w:uiPriority w:val="0"/>
    <w:pPr>
      <w:jc w:val="left"/>
    </w:pPr>
    <w:rPr>
      <w:kern w:val="0"/>
      <w:sz w:val="24"/>
      <w:szCs w:val="20"/>
    </w:rPr>
  </w:style>
  <w:style w:type="paragraph" w:styleId="7">
    <w:name w:val="Salutation"/>
    <w:basedOn w:val="1"/>
    <w:next w:val="1"/>
    <w:qFormat/>
    <w:uiPriority w:val="0"/>
  </w:style>
  <w:style w:type="paragraph" w:styleId="8">
    <w:name w:val="Body Text"/>
    <w:basedOn w:val="1"/>
    <w:next w:val="9"/>
    <w:link w:val="47"/>
    <w:qFormat/>
    <w:uiPriority w:val="0"/>
    <w:pPr>
      <w:widowControl/>
      <w:snapToGrid w:val="0"/>
      <w:spacing w:before="60" w:after="160" w:line="259" w:lineRule="auto"/>
      <w:ind w:right="113"/>
    </w:pPr>
    <w:rPr>
      <w:kern w:val="0"/>
      <w:sz w:val="18"/>
      <w:szCs w:val="20"/>
    </w:rPr>
  </w:style>
  <w:style w:type="paragraph" w:styleId="9">
    <w:name w:val="List Bullet 5"/>
    <w:basedOn w:val="1"/>
    <w:qFormat/>
    <w:uiPriority w:val="0"/>
    <w:pPr>
      <w:numPr>
        <w:ilvl w:val="0"/>
        <w:numId w:val="1"/>
      </w:numPr>
    </w:pPr>
  </w:style>
  <w:style w:type="paragraph" w:styleId="10">
    <w:name w:val="Body Text Indent"/>
    <w:basedOn w:val="1"/>
    <w:next w:val="11"/>
    <w:link w:val="51"/>
    <w:qFormat/>
    <w:uiPriority w:val="0"/>
    <w:pPr>
      <w:spacing w:after="120"/>
      <w:ind w:left="420" w:leftChars="200"/>
    </w:pPr>
    <w:rPr>
      <w:kern w:val="0"/>
      <w:sz w:val="24"/>
      <w:szCs w:val="20"/>
    </w:rPr>
  </w:style>
  <w:style w:type="paragraph" w:styleId="11">
    <w:name w:val="Body Text Indent 2"/>
    <w:basedOn w:val="1"/>
    <w:next w:val="1"/>
    <w:unhideWhenUsed/>
    <w:qFormat/>
    <w:uiPriority w:val="0"/>
    <w:pPr>
      <w:spacing w:after="120" w:line="480" w:lineRule="auto"/>
      <w:ind w:left="420" w:leftChars="200"/>
      <w:jc w:val="left"/>
    </w:pPr>
    <w:rPr>
      <w:rFonts w:ascii="Calibri" w:hAnsi="Calibri" w:eastAsia="宋体" w:cs="Times New Roman"/>
      <w:sz w:val="22"/>
      <w:lang w:eastAsia="en-US"/>
    </w:rPr>
  </w:style>
  <w:style w:type="paragraph" w:styleId="12">
    <w:name w:val="Block Text"/>
    <w:basedOn w:val="1"/>
    <w:unhideWhenUsed/>
    <w:qFormat/>
    <w:uiPriority w:val="0"/>
    <w:pPr>
      <w:adjustRightInd w:val="0"/>
      <w:snapToGrid w:val="0"/>
      <w:spacing w:line="500" w:lineRule="exact"/>
      <w:ind w:left="147" w:leftChars="70" w:right="160" w:rightChars="76" w:firstLine="480" w:firstLineChars="200"/>
    </w:pPr>
    <w:rPr>
      <w:rFonts w:ascii="宋体" w:hAnsi="宋体"/>
      <w:sz w:val="24"/>
    </w:rPr>
  </w:style>
  <w:style w:type="paragraph" w:styleId="13">
    <w:name w:val="Plain Text"/>
    <w:basedOn w:val="1"/>
    <w:next w:val="7"/>
    <w:qFormat/>
    <w:uiPriority w:val="0"/>
    <w:pPr>
      <w:adjustRightInd w:val="0"/>
      <w:spacing w:before="120" w:line="400" w:lineRule="exact"/>
      <w:textAlignment w:val="baseline"/>
    </w:pPr>
    <w:rPr>
      <w:rFonts w:ascii="宋体" w:hAnsi="Courier New" w:eastAsia="宋体"/>
      <w:spacing w:val="-2"/>
      <w:kern w:val="28"/>
    </w:rPr>
  </w:style>
  <w:style w:type="paragraph" w:styleId="14">
    <w:name w:val="Date"/>
    <w:basedOn w:val="1"/>
    <w:next w:val="1"/>
    <w:link w:val="52"/>
    <w:qFormat/>
    <w:uiPriority w:val="0"/>
    <w:pPr>
      <w:ind w:left="100" w:leftChars="2500"/>
    </w:pPr>
    <w:rPr>
      <w:kern w:val="0"/>
      <w:sz w:val="24"/>
      <w:szCs w:val="20"/>
    </w:rPr>
  </w:style>
  <w:style w:type="paragraph" w:styleId="15">
    <w:name w:val="Balloon Text"/>
    <w:basedOn w:val="1"/>
    <w:link w:val="53"/>
    <w:semiHidden/>
    <w:qFormat/>
    <w:uiPriority w:val="0"/>
    <w:rPr>
      <w:kern w:val="0"/>
      <w:sz w:val="18"/>
      <w:szCs w:val="20"/>
    </w:rPr>
  </w:style>
  <w:style w:type="paragraph" w:styleId="16">
    <w:name w:val="footer"/>
    <w:basedOn w:val="1"/>
    <w:next w:val="1"/>
    <w:link w:val="54"/>
    <w:qFormat/>
    <w:uiPriority w:val="99"/>
    <w:pPr>
      <w:tabs>
        <w:tab w:val="center" w:pos="4153"/>
        <w:tab w:val="right" w:pos="8306"/>
      </w:tabs>
      <w:snapToGrid w:val="0"/>
      <w:jc w:val="left"/>
    </w:pPr>
    <w:rPr>
      <w:kern w:val="0"/>
      <w:sz w:val="18"/>
      <w:szCs w:val="20"/>
    </w:rPr>
  </w:style>
  <w:style w:type="paragraph" w:styleId="17">
    <w:name w:val="header"/>
    <w:basedOn w:val="1"/>
    <w:link w:val="55"/>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toc 1"/>
    <w:basedOn w:val="1"/>
    <w:next w:val="1"/>
    <w:qFormat/>
    <w:uiPriority w:val="0"/>
  </w:style>
  <w:style w:type="paragraph" w:styleId="19">
    <w:name w:val="index heading"/>
    <w:basedOn w:val="1"/>
    <w:next w:val="20"/>
    <w:link w:val="56"/>
    <w:semiHidden/>
    <w:qFormat/>
    <w:uiPriority w:val="0"/>
    <w:rPr>
      <w:rFonts w:ascii="Arial" w:hAnsi="Arial" w:cs="Arial"/>
      <w:b/>
      <w:bCs/>
    </w:rPr>
  </w:style>
  <w:style w:type="paragraph" w:styleId="20">
    <w:name w:val="index 1"/>
    <w:basedOn w:val="1"/>
    <w:next w:val="1"/>
    <w:qFormat/>
    <w:uiPriority w:val="0"/>
    <w:pPr>
      <w:spacing w:line="500" w:lineRule="exact"/>
      <w:jc w:val="center"/>
    </w:pPr>
    <w:rPr>
      <w:rFonts w:eastAsia="仿宋_GB2312"/>
      <w:sz w:val="24"/>
      <w:szCs w:val="20"/>
    </w:rPr>
  </w:style>
  <w:style w:type="paragraph" w:styleId="21">
    <w:name w:val="List"/>
    <w:basedOn w:val="1"/>
    <w:qFormat/>
    <w:uiPriority w:val="99"/>
    <w:pPr>
      <w:widowControl/>
      <w:tabs>
        <w:tab w:val="center" w:pos="426"/>
      </w:tabs>
      <w:autoSpaceDE w:val="0"/>
      <w:autoSpaceDN w:val="0"/>
      <w:adjustRightInd w:val="0"/>
      <w:snapToGrid w:val="0"/>
      <w:jc w:val="center"/>
    </w:pPr>
    <w:rPr>
      <w:rFonts w:ascii="Times New Roman" w:hAnsi="Times New Roman" w:eastAsia="宋体" w:cs="Times New Roman"/>
      <w:bCs/>
      <w:kern w:val="0"/>
      <w:sz w:val="28"/>
      <w:szCs w:val="20"/>
    </w:rPr>
  </w:style>
  <w:style w:type="paragraph" w:styleId="22">
    <w:name w:val="toc 2"/>
    <w:basedOn w:val="1"/>
    <w:next w:val="1"/>
    <w:qFormat/>
    <w:uiPriority w:val="0"/>
    <w:pPr>
      <w:ind w:left="280"/>
      <w:jc w:val="left"/>
    </w:pPr>
    <w:rPr>
      <w:smallCaps/>
      <w:sz w:val="20"/>
      <w:szCs w:val="20"/>
    </w:rPr>
  </w:style>
  <w:style w:type="paragraph" w:styleId="23">
    <w:name w:val="Body Text 2"/>
    <w:basedOn w:val="1"/>
    <w:next w:val="1"/>
    <w:qFormat/>
    <w:uiPriority w:val="0"/>
    <w:rPr>
      <w:rFonts w:ascii="Times New Roman" w:hAnsi="Times New Roman"/>
      <w:b/>
      <w:bCs/>
      <w:kern w:val="0"/>
      <w:sz w:val="24"/>
      <w:szCs w:val="20"/>
    </w:rPr>
  </w:style>
  <w:style w:type="paragraph" w:styleId="24">
    <w:name w:val="Normal (Web)"/>
    <w:basedOn w:val="1"/>
    <w:next w:val="8"/>
    <w:link w:val="57"/>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6"/>
    <w:next w:val="6"/>
    <w:link w:val="58"/>
    <w:qFormat/>
    <w:uiPriority w:val="0"/>
    <w:rPr>
      <w:b/>
      <w:sz w:val="24"/>
      <w:szCs w:val="20"/>
    </w:rPr>
  </w:style>
  <w:style w:type="paragraph" w:styleId="26">
    <w:name w:val="Body Text First Indent"/>
    <w:basedOn w:val="8"/>
    <w:next w:val="1"/>
    <w:unhideWhenUsed/>
    <w:qFormat/>
    <w:uiPriority w:val="0"/>
    <w:pPr>
      <w:spacing w:before="0" w:after="120"/>
      <w:ind w:left="0" w:firstLine="420" w:firstLineChars="100"/>
      <w:jc w:val="both"/>
    </w:pPr>
    <w:rPr>
      <w:rFonts w:eastAsia="宋体" w:cs="Times New Roman"/>
      <w:spacing w:val="-16"/>
      <w:kern w:val="2"/>
      <w:sz w:val="28"/>
      <w:szCs w:val="21"/>
      <w:lang w:eastAsia="zh-CN"/>
    </w:rPr>
  </w:style>
  <w:style w:type="paragraph" w:styleId="27">
    <w:name w:val="Body Text First Indent 2"/>
    <w:basedOn w:val="10"/>
    <w:next w:val="26"/>
    <w:unhideWhenUsed/>
    <w:qFormat/>
    <w:uiPriority w:val="99"/>
    <w:pPr>
      <w:ind w:firstLine="420" w:firstLineChars="200"/>
    </w:pPr>
    <w:rPr>
      <w:rFonts w:ascii="Calibri" w:hAnsi="Calibri" w:eastAsia="宋体" w:cs="Times New Roman"/>
      <w:szCs w:val="22"/>
    </w:rPr>
  </w:style>
  <w:style w:type="table" w:styleId="29">
    <w:name w:val="Table Grid"/>
    <w:basedOn w:val="2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character" w:styleId="32">
    <w:name w:val="page number"/>
    <w:basedOn w:val="30"/>
    <w:qFormat/>
    <w:uiPriority w:val="0"/>
  </w:style>
  <w:style w:type="character" w:styleId="33">
    <w:name w:val="FollowedHyperlink"/>
    <w:basedOn w:val="30"/>
    <w:qFormat/>
    <w:uiPriority w:val="0"/>
    <w:rPr>
      <w:color w:val="800080"/>
      <w:u w:val="none"/>
    </w:rPr>
  </w:style>
  <w:style w:type="character" w:styleId="34">
    <w:name w:val="Emphasis"/>
    <w:basedOn w:val="30"/>
    <w:qFormat/>
    <w:uiPriority w:val="0"/>
  </w:style>
  <w:style w:type="character" w:styleId="35">
    <w:name w:val="Hyperlink"/>
    <w:basedOn w:val="30"/>
    <w:unhideWhenUsed/>
    <w:qFormat/>
    <w:uiPriority w:val="0"/>
    <w:rPr>
      <w:color w:val="333333"/>
      <w:u w:val="none"/>
    </w:rPr>
  </w:style>
  <w:style w:type="character" w:styleId="36">
    <w:name w:val="annotation reference"/>
    <w:semiHidden/>
    <w:qFormat/>
    <w:uiPriority w:val="0"/>
    <w:rPr>
      <w:sz w:val="21"/>
    </w:rPr>
  </w:style>
  <w:style w:type="paragraph" w:customStyle="1" w:styleId="37">
    <w:name w:val="图表标题"/>
    <w:basedOn w:val="38"/>
    <w:link w:val="40"/>
    <w:qFormat/>
    <w:uiPriority w:val="0"/>
    <w:pPr>
      <w:spacing w:before="60" w:after="60"/>
    </w:pPr>
  </w:style>
  <w:style w:type="paragraph" w:customStyle="1" w:styleId="38">
    <w:name w:val="表格标题-书"/>
    <w:next w:val="39"/>
    <w:link w:val="87"/>
    <w:qFormat/>
    <w:uiPriority w:val="0"/>
    <w:pPr>
      <w:jc w:val="center"/>
    </w:pPr>
    <w:rPr>
      <w:rFonts w:ascii="Times New Roman" w:hAnsi="Times New Roman" w:eastAsia="宋体" w:cs="Times New Roman"/>
      <w:b/>
      <w:kern w:val="0"/>
      <w:sz w:val="21"/>
      <w:szCs w:val="22"/>
      <w:lang w:val="en-US" w:eastAsia="zh-CN" w:bidi="ar-SA"/>
    </w:rPr>
  </w:style>
  <w:style w:type="paragraph" w:customStyle="1" w:styleId="39">
    <w:name w:val="表格文字-书"/>
    <w:qFormat/>
    <w:uiPriority w:val="0"/>
    <w:pPr>
      <w:jc w:val="center"/>
    </w:pPr>
    <w:rPr>
      <w:rFonts w:ascii="Times New Roman" w:hAnsi="Times New Roman" w:eastAsia="宋体" w:cs="Times New Roman"/>
      <w:kern w:val="0"/>
      <w:sz w:val="21"/>
      <w:szCs w:val="22"/>
      <w:lang w:val="en-US" w:eastAsia="zh-CN" w:bidi="ar-SA"/>
    </w:rPr>
  </w:style>
  <w:style w:type="character" w:customStyle="1" w:styleId="40">
    <w:name w:val="图表标题 Char"/>
    <w:link w:val="37"/>
    <w:qFormat/>
    <w:uiPriority w:val="0"/>
    <w:rPr>
      <w:rFonts w:eastAsia="宋体"/>
      <w:sz w:val="21"/>
    </w:rPr>
  </w:style>
  <w:style w:type="paragraph" w:customStyle="1" w:styleId="41">
    <w:name w:val="11正文-书"/>
    <w:link w:val="42"/>
    <w:qFormat/>
    <w:uiPriority w:val="0"/>
    <w:pPr>
      <w:spacing w:line="360" w:lineRule="auto"/>
      <w:ind w:firstLine="480" w:firstLineChars="200"/>
      <w:jc w:val="both"/>
    </w:pPr>
    <w:rPr>
      <w:rFonts w:ascii="Times New Roman" w:hAnsi="Times New Roman" w:eastAsia="宋体" w:cs="Times New Roman"/>
      <w:kern w:val="0"/>
      <w:sz w:val="24"/>
      <w:szCs w:val="24"/>
      <w:lang w:val="en-US" w:eastAsia="zh-CN" w:bidi="ar-SA"/>
    </w:rPr>
  </w:style>
  <w:style w:type="character" w:customStyle="1" w:styleId="42">
    <w:name w:val="11正文-书 Char"/>
    <w:link w:val="41"/>
    <w:qFormat/>
    <w:uiPriority w:val="0"/>
    <w:rPr>
      <w:rFonts w:ascii="Times New Roman" w:hAnsi="Times New Roman" w:eastAsia="宋体" w:cs="Times New Roman"/>
      <w:kern w:val="0"/>
      <w:sz w:val="24"/>
      <w:szCs w:val="24"/>
      <w:lang w:val="en-US" w:eastAsia="zh-CN" w:bidi="ar-SA"/>
    </w:rPr>
  </w:style>
  <w:style w:type="character" w:customStyle="1" w:styleId="43">
    <w:name w:val="标题 4 Char"/>
    <w:link w:val="5"/>
    <w:qFormat/>
    <w:uiPriority w:val="0"/>
    <w:rPr>
      <w:rFonts w:ascii="Cambria" w:hAnsi="Cambria" w:eastAsia="宋体" w:cs="Times New Roman"/>
      <w:b/>
      <w:bCs/>
      <w:sz w:val="28"/>
      <w:szCs w:val="28"/>
    </w:rPr>
  </w:style>
  <w:style w:type="paragraph" w:customStyle="1" w:styleId="44">
    <w:name w:val="Default"/>
    <w:basedOn w:val="45"/>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45">
    <w:name w:val="标题2"/>
    <w:basedOn w:val="1"/>
    <w:qFormat/>
    <w:uiPriority w:val="99"/>
    <w:pPr>
      <w:spacing w:line="360" w:lineRule="auto"/>
      <w:ind w:firstLine="0" w:firstLineChars="0"/>
      <w:jc w:val="left"/>
    </w:pPr>
    <w:rPr>
      <w:b/>
      <w:sz w:val="28"/>
    </w:rPr>
  </w:style>
  <w:style w:type="paragraph" w:customStyle="1" w:styleId="46">
    <w:name w:val="样式1"/>
    <w:basedOn w:val="19"/>
    <w:next w:val="12"/>
    <w:qFormat/>
    <w:uiPriority w:val="0"/>
    <w:pPr>
      <w:spacing w:line="360" w:lineRule="auto"/>
      <w:jc w:val="center"/>
    </w:pPr>
    <w:rPr>
      <w:rFonts w:ascii="宋体"/>
      <w:b w:val="0"/>
      <w:bCs w:val="0"/>
      <w:color w:val="000000"/>
      <w:szCs w:val="20"/>
    </w:rPr>
  </w:style>
  <w:style w:type="character" w:customStyle="1" w:styleId="47">
    <w:name w:val="正文文本 Char"/>
    <w:link w:val="8"/>
    <w:qFormat/>
    <w:uiPriority w:val="0"/>
    <w:rPr>
      <w:sz w:val="18"/>
    </w:rPr>
  </w:style>
  <w:style w:type="character" w:customStyle="1" w:styleId="48">
    <w:name w:val="标题 1 Char"/>
    <w:link w:val="2"/>
    <w:qFormat/>
    <w:uiPriority w:val="99"/>
    <w:rPr>
      <w:rFonts w:ascii="Times New Roman" w:hAnsi="Times New Roman" w:eastAsia="宋体"/>
      <w:b/>
      <w:bCs/>
      <w:color w:val="000000"/>
      <w:kern w:val="44"/>
      <w:sz w:val="30"/>
      <w:szCs w:val="30"/>
    </w:rPr>
  </w:style>
  <w:style w:type="character" w:customStyle="1" w:styleId="49">
    <w:name w:val="标题 2 Char"/>
    <w:link w:val="3"/>
    <w:qFormat/>
    <w:uiPriority w:val="0"/>
    <w:rPr>
      <w:rFonts w:ascii="Arial" w:hAnsi="Arial" w:eastAsia="黑体"/>
      <w:b/>
      <w:sz w:val="32"/>
    </w:rPr>
  </w:style>
  <w:style w:type="character" w:customStyle="1" w:styleId="50">
    <w:name w:val="批注文字 Char"/>
    <w:link w:val="6"/>
    <w:qFormat/>
    <w:uiPriority w:val="0"/>
    <w:rPr>
      <w:rFonts w:ascii="Times New Roman" w:hAnsi="Times New Roman" w:eastAsia="宋体"/>
      <w:sz w:val="24"/>
    </w:rPr>
  </w:style>
  <w:style w:type="character" w:customStyle="1" w:styleId="51">
    <w:name w:val="正文文本缩进 Char"/>
    <w:link w:val="10"/>
    <w:semiHidden/>
    <w:qFormat/>
    <w:uiPriority w:val="0"/>
    <w:rPr>
      <w:rFonts w:ascii="Times New Roman" w:hAnsi="Times New Roman" w:eastAsia="宋体"/>
      <w:sz w:val="24"/>
    </w:rPr>
  </w:style>
  <w:style w:type="character" w:customStyle="1" w:styleId="52">
    <w:name w:val="日期 Char"/>
    <w:link w:val="14"/>
    <w:qFormat/>
    <w:uiPriority w:val="0"/>
    <w:rPr>
      <w:rFonts w:ascii="Times New Roman" w:hAnsi="Times New Roman" w:eastAsia="宋体"/>
      <w:sz w:val="24"/>
    </w:rPr>
  </w:style>
  <w:style w:type="character" w:customStyle="1" w:styleId="53">
    <w:name w:val="批注框文本 Char"/>
    <w:link w:val="15"/>
    <w:semiHidden/>
    <w:qFormat/>
    <w:uiPriority w:val="0"/>
    <w:rPr>
      <w:rFonts w:ascii="Times New Roman" w:hAnsi="Times New Roman" w:eastAsia="宋体"/>
      <w:sz w:val="18"/>
    </w:rPr>
  </w:style>
  <w:style w:type="character" w:customStyle="1" w:styleId="54">
    <w:name w:val="页脚 Char"/>
    <w:link w:val="16"/>
    <w:qFormat/>
    <w:uiPriority w:val="99"/>
    <w:rPr>
      <w:sz w:val="18"/>
    </w:rPr>
  </w:style>
  <w:style w:type="character" w:customStyle="1" w:styleId="55">
    <w:name w:val="页眉 Char"/>
    <w:link w:val="17"/>
    <w:qFormat/>
    <w:uiPriority w:val="0"/>
    <w:rPr>
      <w:sz w:val="18"/>
    </w:rPr>
  </w:style>
  <w:style w:type="character" w:customStyle="1" w:styleId="56">
    <w:name w:val="索引标题 Char"/>
    <w:link w:val="19"/>
    <w:qFormat/>
    <w:uiPriority w:val="0"/>
    <w:rPr>
      <w:rFonts w:ascii="Arial" w:hAnsi="Arial" w:cs="Arial"/>
      <w:b/>
      <w:bCs/>
    </w:rPr>
  </w:style>
  <w:style w:type="character" w:customStyle="1" w:styleId="57">
    <w:name w:val="普通(网站) Char"/>
    <w:link w:val="24"/>
    <w:qFormat/>
    <w:uiPriority w:val="0"/>
    <w:rPr>
      <w:rFonts w:ascii="宋体" w:hAnsi="宋体" w:eastAsia="宋体"/>
      <w:sz w:val="24"/>
    </w:rPr>
  </w:style>
  <w:style w:type="character" w:customStyle="1" w:styleId="58">
    <w:name w:val="批注主题 Char"/>
    <w:link w:val="25"/>
    <w:semiHidden/>
    <w:qFormat/>
    <w:uiPriority w:val="0"/>
    <w:rPr>
      <w:rFonts w:ascii="Times New Roman" w:hAnsi="Times New Roman" w:eastAsia="宋体"/>
      <w:b/>
      <w:kern w:val="2"/>
      <w:sz w:val="24"/>
    </w:rPr>
  </w:style>
  <w:style w:type="character" w:customStyle="1" w:styleId="59">
    <w:name w:val="页脚 字符"/>
    <w:basedOn w:val="30"/>
    <w:qFormat/>
    <w:uiPriority w:val="99"/>
  </w:style>
  <w:style w:type="character" w:customStyle="1" w:styleId="60">
    <w:name w:val="表格 Char"/>
    <w:link w:val="61"/>
    <w:qFormat/>
    <w:uiPriority w:val="0"/>
    <w:rPr>
      <w:rFonts w:ascii="宋体"/>
      <w:sz w:val="21"/>
    </w:rPr>
  </w:style>
  <w:style w:type="paragraph" w:customStyle="1" w:styleId="61">
    <w:name w:val="表格"/>
    <w:basedOn w:val="21"/>
    <w:next w:val="1"/>
    <w:link w:val="60"/>
    <w:qFormat/>
    <w:uiPriority w:val="0"/>
    <w:pPr>
      <w:adjustRightInd w:val="0"/>
      <w:snapToGrid w:val="0"/>
      <w:spacing w:beforeLines="10" w:afterLines="10" w:line="259" w:lineRule="auto"/>
      <w:jc w:val="center"/>
    </w:pPr>
    <w:rPr>
      <w:rFonts w:ascii="宋体"/>
      <w:kern w:val="0"/>
      <w:szCs w:val="20"/>
    </w:rPr>
  </w:style>
  <w:style w:type="character" w:customStyle="1" w:styleId="62">
    <w:name w:val="日期 字符"/>
    <w:semiHidden/>
    <w:qFormat/>
    <w:uiPriority w:val="0"/>
    <w:rPr>
      <w:rFonts w:ascii="Times New Roman" w:hAnsi="Times New Roman" w:eastAsia="宋体"/>
      <w:sz w:val="24"/>
    </w:rPr>
  </w:style>
  <w:style w:type="character" w:customStyle="1" w:styleId="63">
    <w:name w:val="正文文本 字符1"/>
    <w:semiHidden/>
    <w:qFormat/>
    <w:uiPriority w:val="0"/>
    <w:rPr>
      <w:rFonts w:ascii="Times New Roman" w:hAnsi="Times New Roman" w:eastAsia="宋体"/>
      <w:sz w:val="24"/>
    </w:rPr>
  </w:style>
  <w:style w:type="character" w:customStyle="1" w:styleId="64">
    <w:name w:val="批注文字 字符1"/>
    <w:semiHidden/>
    <w:qFormat/>
    <w:uiPriority w:val="0"/>
    <w:rPr>
      <w:rFonts w:ascii="Times New Roman" w:hAnsi="Times New Roman" w:eastAsia="宋体"/>
      <w:sz w:val="24"/>
    </w:rPr>
  </w:style>
  <w:style w:type="paragraph" w:customStyle="1" w:styleId="65">
    <w:name w:val="xl23"/>
    <w:basedOn w:val="1"/>
    <w:qFormat/>
    <w:uiPriority w:val="0"/>
    <w:pPr>
      <w:widowControl/>
      <w:spacing w:before="100" w:beforeAutospacing="1" w:after="100" w:afterAutospacing="1"/>
      <w:jc w:val="center"/>
    </w:pPr>
    <w:rPr>
      <w:rFonts w:ascii="Arial Unicode MS" w:hAnsi="Arial Unicode MS"/>
      <w:kern w:val="0"/>
      <w:sz w:val="24"/>
      <w:szCs w:val="22"/>
    </w:rPr>
  </w:style>
  <w:style w:type="paragraph" w:customStyle="1" w:styleId="66">
    <w:name w:val="表中"/>
    <w:basedOn w:val="67"/>
    <w:qFormat/>
    <w:uiPriority w:val="0"/>
    <w:pPr>
      <w:spacing w:line="240" w:lineRule="auto"/>
    </w:pPr>
    <w:rPr>
      <w:b w:val="0"/>
      <w:szCs w:val="20"/>
    </w:rPr>
  </w:style>
  <w:style w:type="paragraph" w:customStyle="1" w:styleId="67">
    <w:name w:val="表头标准"/>
    <w:basedOn w:val="1"/>
    <w:qFormat/>
    <w:uiPriority w:val="0"/>
    <w:pPr>
      <w:adjustRightInd w:val="0"/>
      <w:snapToGrid w:val="0"/>
      <w:spacing w:line="360" w:lineRule="auto"/>
      <w:jc w:val="center"/>
    </w:pPr>
    <w:rPr>
      <w:b/>
      <w:kern w:val="0"/>
      <w:szCs w:val="21"/>
    </w:rPr>
  </w:style>
  <w:style w:type="paragraph" w:customStyle="1" w:styleId="68">
    <w:name w:val="表格文字"/>
    <w:link w:val="69"/>
    <w:qFormat/>
    <w:uiPriority w:val="0"/>
    <w:pPr>
      <w:jc w:val="center"/>
    </w:pPr>
    <w:rPr>
      <w:rFonts w:ascii="Times New Roman" w:hAnsi="Times New Roman" w:eastAsia="宋体" w:cs="Times New Roman"/>
      <w:kern w:val="2"/>
      <w:sz w:val="21"/>
      <w:szCs w:val="22"/>
      <w:lang w:val="en-US" w:eastAsia="zh-CN" w:bidi="ar-SA"/>
    </w:rPr>
  </w:style>
  <w:style w:type="character" w:customStyle="1" w:styleId="69">
    <w:name w:val="表格文字 Char"/>
    <w:link w:val="68"/>
    <w:qFormat/>
    <w:uiPriority w:val="0"/>
    <w:rPr>
      <w:rFonts w:ascii="Times New Roman" w:hAnsi="Times New Roman" w:eastAsia="宋体" w:cs="Times New Roman"/>
      <w:kern w:val="2"/>
      <w:sz w:val="21"/>
      <w:szCs w:val="22"/>
      <w:lang w:val="en-US" w:eastAsia="zh-CN" w:bidi="ar-SA"/>
    </w:rPr>
  </w:style>
  <w:style w:type="paragraph" w:customStyle="1" w:styleId="70">
    <w:name w:val="表格标题"/>
    <w:next w:val="1"/>
    <w:link w:val="71"/>
    <w:qFormat/>
    <w:uiPriority w:val="0"/>
    <w:pPr>
      <w:spacing w:before="40" w:after="40" w:line="240" w:lineRule="auto"/>
      <w:jc w:val="center"/>
    </w:pPr>
    <w:rPr>
      <w:rFonts w:ascii="Times New Roman" w:hAnsi="Times New Roman" w:eastAsia="宋体" w:cs="Times New Roman"/>
      <w:b/>
      <w:kern w:val="2"/>
      <w:sz w:val="21"/>
      <w:szCs w:val="22"/>
      <w:lang w:val="en-US" w:eastAsia="zh-CN" w:bidi="ar-SA"/>
    </w:rPr>
  </w:style>
  <w:style w:type="character" w:customStyle="1" w:styleId="71">
    <w:name w:val="表格标题 Char"/>
    <w:link w:val="70"/>
    <w:qFormat/>
    <w:uiPriority w:val="0"/>
    <w:rPr>
      <w:rFonts w:ascii="Times New Roman" w:hAnsi="Times New Roman" w:eastAsia="宋体" w:cs="Times New Roman"/>
      <w:b/>
      <w:kern w:val="2"/>
      <w:sz w:val="21"/>
      <w:szCs w:val="22"/>
      <w:lang w:val="en-US" w:eastAsia="zh-CN" w:bidi="ar-SA"/>
    </w:rPr>
  </w:style>
  <w:style w:type="paragraph" w:customStyle="1" w:styleId="72">
    <w:name w:val="11正文"/>
    <w:link w:val="73"/>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73">
    <w:name w:val="11正文 Char"/>
    <w:link w:val="72"/>
    <w:qFormat/>
    <w:uiPriority w:val="0"/>
    <w:rPr>
      <w:rFonts w:ascii="Times New Roman" w:hAnsi="Times New Roman" w:eastAsia="宋体" w:cs="Times New Roman"/>
      <w:kern w:val="2"/>
      <w:sz w:val="24"/>
      <w:szCs w:val="22"/>
      <w:lang w:val="en-US" w:eastAsia="zh-CN" w:bidi="ar-SA"/>
    </w:rPr>
  </w:style>
  <w:style w:type="paragraph" w:customStyle="1" w:styleId="74">
    <w:name w:val="3级标题"/>
    <w:next w:val="72"/>
    <w:qFormat/>
    <w:uiPriority w:val="0"/>
    <w:pPr>
      <w:spacing w:line="360" w:lineRule="auto"/>
      <w:ind w:firstLine="480" w:firstLineChars="200"/>
    </w:pPr>
    <w:rPr>
      <w:rFonts w:ascii="Times New Roman" w:hAnsi="Times New Roman" w:eastAsia="宋体" w:cs="Times New Roman"/>
      <w:kern w:val="2"/>
      <w:sz w:val="24"/>
      <w:szCs w:val="22"/>
      <w:lang w:val="en-US" w:eastAsia="zh-CN" w:bidi="ar-SA"/>
    </w:rPr>
  </w:style>
  <w:style w:type="paragraph" w:customStyle="1" w:styleId="75">
    <w:name w:val="报告正文"/>
    <w:basedOn w:val="1"/>
    <w:qFormat/>
    <w:uiPriority w:val="0"/>
    <w:pPr>
      <w:spacing w:line="360" w:lineRule="auto"/>
      <w:ind w:firstLine="200" w:firstLineChars="200"/>
      <w:jc w:val="left"/>
    </w:pPr>
    <w:rPr>
      <w:rFonts w:ascii="Times New Roman" w:hAnsi="Times New Roman" w:eastAsia="宋体" w:cs="Times New Roman"/>
      <w:sz w:val="24"/>
      <w:szCs w:val="24"/>
    </w:rPr>
  </w:style>
  <w:style w:type="paragraph" w:customStyle="1" w:styleId="76">
    <w:name w:val="2级、描述"/>
    <w:next w:val="74"/>
    <w:link w:val="77"/>
    <w:qFormat/>
    <w:uiPriority w:val="0"/>
    <w:pPr>
      <w:spacing w:line="360" w:lineRule="auto"/>
      <w:ind w:firstLine="482" w:firstLineChars="200"/>
      <w:jc w:val="both"/>
    </w:pPr>
    <w:rPr>
      <w:rFonts w:ascii="Times New Roman" w:hAnsi="Times New Roman" w:eastAsia="宋体" w:cs="Times New Roman"/>
      <w:b/>
      <w:sz w:val="24"/>
      <w:szCs w:val="24"/>
      <w:lang w:val="en-US" w:eastAsia="zh-CN" w:bidi="ar-SA"/>
    </w:rPr>
  </w:style>
  <w:style w:type="character" w:customStyle="1" w:styleId="77">
    <w:name w:val="2级、描述 Char"/>
    <w:link w:val="76"/>
    <w:qFormat/>
    <w:uiPriority w:val="0"/>
    <w:rPr>
      <w:rFonts w:ascii="Times New Roman" w:hAnsi="Times New Roman" w:eastAsia="宋体" w:cs="Times New Roman"/>
      <w:b/>
      <w:sz w:val="24"/>
      <w:szCs w:val="24"/>
      <w:lang w:val="en-US" w:eastAsia="zh-CN" w:bidi="ar-SA"/>
    </w:rPr>
  </w:style>
  <w:style w:type="paragraph" w:customStyle="1" w:styleId="78">
    <w:name w:val="普通(网站)2"/>
    <w:basedOn w:val="1"/>
    <w:link w:val="79"/>
    <w:qFormat/>
    <w:uiPriority w:val="0"/>
    <w:pPr>
      <w:widowControl/>
      <w:spacing w:before="100" w:beforeAutospacing="1" w:after="100" w:afterAutospacing="1"/>
      <w:jc w:val="left"/>
    </w:pPr>
    <w:rPr>
      <w:rFonts w:ascii="宋体" w:hAnsi="宋体"/>
      <w:sz w:val="24"/>
      <w:szCs w:val="20"/>
    </w:rPr>
  </w:style>
  <w:style w:type="character" w:customStyle="1" w:styleId="79">
    <w:name w:val="普通(网站)2 Char"/>
    <w:link w:val="78"/>
    <w:qFormat/>
    <w:uiPriority w:val="0"/>
    <w:rPr>
      <w:rFonts w:ascii="宋体" w:hAnsi="宋体"/>
      <w:sz w:val="24"/>
      <w:szCs w:val="20"/>
    </w:rPr>
  </w:style>
  <w:style w:type="paragraph" w:customStyle="1" w:styleId="80">
    <w:name w:val="正文_10"/>
    <w:link w:val="81"/>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81">
    <w:name w:val="正文_10 Char"/>
    <w:link w:val="80"/>
    <w:qFormat/>
    <w:uiPriority w:val="0"/>
    <w:rPr>
      <w:kern w:val="2"/>
      <w:sz w:val="21"/>
      <w:szCs w:val="22"/>
      <w:lang w:val="en-US" w:eastAsia="zh-CN" w:bidi="ar-SA"/>
    </w:rPr>
  </w:style>
  <w:style w:type="paragraph" w:customStyle="1" w:styleId="82">
    <w:name w:val="111正文"/>
    <w:basedOn w:val="1"/>
    <w:qFormat/>
    <w:uiPriority w:val="0"/>
    <w:pPr>
      <w:tabs>
        <w:tab w:val="left" w:pos="600"/>
      </w:tabs>
      <w:spacing w:line="360" w:lineRule="auto"/>
      <w:ind w:firstLine="200" w:firstLineChars="200"/>
    </w:pPr>
    <w:rPr>
      <w:sz w:val="24"/>
    </w:rPr>
  </w:style>
  <w:style w:type="paragraph" w:customStyle="1" w:styleId="83">
    <w:name w:val="Table Paragraph"/>
    <w:basedOn w:val="1"/>
    <w:qFormat/>
    <w:uiPriority w:val="1"/>
  </w:style>
  <w:style w:type="paragraph" w:customStyle="1" w:styleId="84">
    <w:name w:val="一级标题"/>
    <w:basedOn w:val="1"/>
    <w:qFormat/>
    <w:uiPriority w:val="0"/>
    <w:pPr>
      <w:spacing w:before="60" w:line="460" w:lineRule="exact"/>
      <w:outlineLvl w:val="0"/>
    </w:pPr>
    <w:rPr>
      <w:rFonts w:ascii="Times New Roman" w:hAnsi="Times New Roman"/>
      <w:b/>
      <w:sz w:val="32"/>
      <w:szCs w:val="24"/>
    </w:rPr>
  </w:style>
  <w:style w:type="paragraph" w:customStyle="1" w:styleId="85">
    <w:name w:val="表格正文"/>
    <w:qFormat/>
    <w:uiPriority w:val="0"/>
    <w:pPr>
      <w:widowControl w:val="0"/>
      <w:spacing w:line="360" w:lineRule="exact"/>
      <w:jc w:val="center"/>
    </w:pPr>
    <w:rPr>
      <w:rFonts w:ascii="Arial" w:hAnsi="Arial" w:eastAsia="宋体" w:cs="Times New Roman"/>
      <w:color w:val="000000"/>
      <w:kern w:val="2"/>
      <w:sz w:val="21"/>
      <w:szCs w:val="20"/>
      <w:lang w:val="en-US" w:eastAsia="zh-CN" w:bidi="ar-SA"/>
    </w:rPr>
  </w:style>
  <w:style w:type="table" w:customStyle="1" w:styleId="86">
    <w:name w:val="网格型1"/>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7">
    <w:name w:val="表格标题-书 Char"/>
    <w:link w:val="38"/>
    <w:qFormat/>
    <w:uiPriority w:val="0"/>
    <w:rPr>
      <w:rFonts w:ascii="Times New Roman" w:hAnsi="Times New Roman" w:eastAsia="宋体" w:cs="Times New Roman"/>
      <w:b/>
      <w:kern w:val="0"/>
      <w:sz w:val="21"/>
      <w:szCs w:val="22"/>
      <w:lang w:val="en-US" w:eastAsia="zh-CN" w:bidi="ar-SA"/>
    </w:rPr>
  </w:style>
  <w:style w:type="character" w:customStyle="1" w:styleId="88">
    <w:name w:val="znspantitle"/>
    <w:basedOn w:val="30"/>
    <w:qFormat/>
    <w:uiPriority w:val="0"/>
    <w:rPr>
      <w:b/>
      <w:bCs/>
      <w:color w:val="333333"/>
    </w:rPr>
  </w:style>
  <w:style w:type="character" w:customStyle="1" w:styleId="89">
    <w:name w:val="disabled"/>
    <w:basedOn w:val="30"/>
    <w:qFormat/>
    <w:uiPriority w:val="0"/>
    <w:rPr>
      <w:vanish/>
    </w:rPr>
  </w:style>
  <w:style w:type="paragraph" w:customStyle="1" w:styleId="90">
    <w:name w:val="核对"/>
    <w:basedOn w:val="1"/>
    <w:qFormat/>
    <w:uiPriority w:val="0"/>
    <w:pPr>
      <w:spacing w:line="240" w:lineRule="auto"/>
      <w:ind w:firstLine="0" w:firstLineChars="0"/>
      <w:jc w:val="center"/>
    </w:pPr>
    <w:rPr>
      <w:rFonts w:ascii="Times New Roman" w:hAnsi="Times New Roman" w:eastAsia="宋体"/>
      <w:b/>
      <w:sz w:val="21"/>
    </w:rPr>
  </w:style>
  <w:style w:type="paragraph" w:customStyle="1" w:styleId="91">
    <w:name w:val="表内容"/>
    <w:basedOn w:val="1"/>
    <w:next w:val="1"/>
    <w:qFormat/>
    <w:uiPriority w:val="0"/>
    <w:pPr>
      <w:spacing w:line="240" w:lineRule="auto"/>
      <w:jc w:val="center"/>
    </w:pPr>
    <w:rPr>
      <w:rFonts w:ascii="Times New Roman" w:hAnsi="Times New Roman" w:eastAsia="宋体"/>
      <w:szCs w:val="20"/>
    </w:rPr>
  </w:style>
  <w:style w:type="paragraph" w:customStyle="1" w:styleId="92">
    <w:name w:val="正文 123456789"/>
    <w:basedOn w:val="1"/>
    <w:qFormat/>
    <w:uiPriority w:val="0"/>
    <w:pPr>
      <w:spacing w:line="360" w:lineRule="auto"/>
      <w:ind w:firstLine="200" w:firstLineChars="200"/>
    </w:pPr>
    <w:rPr>
      <w:rFonts w:cs="宋体"/>
      <w:sz w:val="24"/>
      <w:szCs w:val="20"/>
    </w:rPr>
  </w:style>
  <w:style w:type="paragraph" w:customStyle="1" w:styleId="93">
    <w:name w:val="正文 + 仿宋_GB2312"/>
    <w:basedOn w:val="1"/>
    <w:qFormat/>
    <w:uiPriority w:val="0"/>
    <w:pPr>
      <w:ind w:firstLine="480" w:firstLineChars="200"/>
    </w:pPr>
    <w:rPr>
      <w:rFonts w:ascii="仿宋_GB2312" w:eastAsia="仿宋_GB2312"/>
      <w:sz w:val="24"/>
    </w:rPr>
  </w:style>
  <w:style w:type="paragraph" w:customStyle="1" w:styleId="94">
    <w:name w:val="表格内容自定"/>
    <w:basedOn w:val="1"/>
    <w:qFormat/>
    <w:uiPriority w:val="0"/>
    <w:pPr>
      <w:spacing w:line="240" w:lineRule="auto"/>
      <w:ind w:firstLine="0" w:firstLineChars="0"/>
      <w:jc w:val="center"/>
    </w:pPr>
    <w:rPr>
      <w:rFonts w:ascii="Times New Roman" w:hAnsi="Times New Roman"/>
      <w:kern w:val="0"/>
    </w:rPr>
  </w:style>
  <w:style w:type="table" w:customStyle="1" w:styleId="95">
    <w:name w:val="Table Normal"/>
    <w:unhideWhenUsed/>
    <w:qFormat/>
    <w:uiPriority w:val="0"/>
    <w:tblPr>
      <w:tblCellMar>
        <w:top w:w="0" w:type="dxa"/>
        <w:left w:w="0" w:type="dxa"/>
        <w:bottom w:w="0" w:type="dxa"/>
        <w:right w:w="0" w:type="dxa"/>
      </w:tblCellMar>
    </w:tblPr>
  </w:style>
  <w:style w:type="paragraph" w:customStyle="1" w:styleId="96">
    <w:name w:val="正文文本2"/>
    <w:basedOn w:val="13"/>
    <w:qFormat/>
    <w:uiPriority w:val="0"/>
    <w:pPr>
      <w:autoSpaceDE/>
      <w:autoSpaceDN/>
      <w:adjustRightInd/>
      <w:ind w:firstLine="480"/>
      <w:jc w:val="both"/>
      <w:textAlignment w:val="auto"/>
    </w:pPr>
    <w:rPr>
      <w:rFonts w:ascii="宋体" w:hAnsi="Calibri" w:cs="宋体"/>
      <w:kern w:val="2"/>
      <w:sz w:val="21"/>
      <w:szCs w:val="24"/>
      <w:lang w:val="en-US" w:eastAsia="zh-CN"/>
    </w:rPr>
  </w:style>
  <w:style w:type="character" w:customStyle="1" w:styleId="97">
    <w:name w:val="cur1"/>
    <w:basedOn w:val="30"/>
    <w:qFormat/>
    <w:uiPriority w:val="0"/>
    <w:rPr>
      <w:color w:val="FFFFFF"/>
      <w:shd w:val="clear" w:color="auto" w:fill="2F6B98"/>
    </w:rPr>
  </w:style>
  <w:style w:type="character" w:customStyle="1" w:styleId="98">
    <w:name w:val="lishishuju"/>
    <w:basedOn w:val="30"/>
    <w:qFormat/>
    <w:uiPriority w:val="0"/>
    <w:rPr>
      <w:b/>
      <w:bCs/>
      <w:color w:val="000052"/>
      <w:sz w:val="24"/>
      <w:szCs w:val="24"/>
      <w:bdr w:val="single" w:color="E3E3E3" w:sz="6" w:space="0"/>
    </w:rPr>
  </w:style>
  <w:style w:type="character" w:customStyle="1" w:styleId="99">
    <w:name w:val="radio-btn"/>
    <w:basedOn w:val="30"/>
    <w:qFormat/>
    <w:uiPriority w:val="0"/>
    <w:rPr>
      <w:sz w:val="24"/>
      <w:szCs w:val="24"/>
    </w:rPr>
  </w:style>
  <w:style w:type="character" w:customStyle="1" w:styleId="100">
    <w:name w:val="radio-btn1"/>
    <w:basedOn w:val="30"/>
    <w:qFormat/>
    <w:uiPriority w:val="0"/>
    <w:rPr>
      <w:sz w:val="21"/>
      <w:szCs w:val="21"/>
    </w:rPr>
  </w:style>
  <w:style w:type="character" w:customStyle="1" w:styleId="101">
    <w:name w:val="radio-btn2"/>
    <w:basedOn w:val="30"/>
    <w:qFormat/>
    <w:uiPriority w:val="0"/>
    <w:rPr>
      <w:sz w:val="24"/>
      <w:szCs w:val="24"/>
    </w:rPr>
  </w:style>
  <w:style w:type="character" w:customStyle="1" w:styleId="102">
    <w:name w:val="lable"/>
    <w:basedOn w:val="30"/>
    <w:qFormat/>
    <w:uiPriority w:val="0"/>
    <w:rPr>
      <w:sz w:val="24"/>
      <w:szCs w:val="24"/>
    </w:rPr>
  </w:style>
  <w:style w:type="paragraph" w:customStyle="1" w:styleId="103">
    <w:name w:val="表头、图号"/>
    <w:basedOn w:val="1"/>
    <w:next w:val="1"/>
    <w:qFormat/>
    <w:uiPriority w:val="0"/>
    <w:pPr>
      <w:adjustRightInd w:val="0"/>
      <w:snapToGrid w:val="0"/>
      <w:spacing w:line="240" w:lineRule="auto"/>
      <w:ind w:firstLine="0" w:firstLineChars="0"/>
      <w:jc w:val="center"/>
    </w:pPr>
    <w:rPr>
      <w:rFonts w:ascii="Times New Roman" w:hAnsi="Times New Roman"/>
      <w:b/>
      <w:sz w:val="21"/>
    </w:rPr>
  </w:style>
  <w:style w:type="table" w:customStyle="1" w:styleId="104">
    <w:name w:val="程凯3"/>
    <w:basedOn w:val="29"/>
    <w:qFormat/>
    <w:uiPriority w:val="0"/>
    <w:pPr>
      <w:widowControl w:val="0"/>
      <w:jc w:val="center"/>
    </w:pPr>
    <w:rPr>
      <w:rFonts w:ascii="Times New Roman" w:hAnsi="Times New Roman" w:eastAsia="Times New Roman"/>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105">
    <w:name w:val="font41"/>
    <w:basedOn w:val="30"/>
    <w:qFormat/>
    <w:uiPriority w:val="0"/>
    <w:rPr>
      <w:rFonts w:hint="eastAsia" w:ascii="等线" w:hAnsi="等线" w:eastAsia="等线" w:cs="等线"/>
      <w:color w:val="000000"/>
      <w:sz w:val="22"/>
      <w:szCs w:val="22"/>
      <w:u w:val="none"/>
    </w:rPr>
  </w:style>
  <w:style w:type="paragraph" w:customStyle="1" w:styleId="106">
    <w:name w:val="正文1"/>
    <w:basedOn w:val="72"/>
    <w:qFormat/>
    <w:uiPriority w:val="0"/>
    <w:pPr>
      <w:adjustRightInd w:val="0"/>
      <w:snapToGrid w:val="0"/>
      <w:ind w:firstLine="480"/>
    </w:pPr>
    <w:rPr>
      <w:rFonts w:ascii="Times New Roman" w:hAnsi="Times New Roman"/>
    </w:rPr>
  </w:style>
  <w:style w:type="paragraph" w:customStyle="1" w:styleId="107">
    <w:name w:val="表"/>
    <w:basedOn w:val="1"/>
    <w:qFormat/>
    <w:uiPriority w:val="0"/>
    <w:pPr>
      <w:jc w:val="center"/>
    </w:pPr>
    <w:rPr>
      <w:rFonts w:cs="宋体"/>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1.bin"/><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91</Pages>
  <Words>32828</Words>
  <Characters>38989</Characters>
  <Lines>13</Lines>
  <Paragraphs>3</Paragraphs>
  <TotalTime>3</TotalTime>
  <ScaleCrop>false</ScaleCrop>
  <LinksUpToDate>false</LinksUpToDate>
  <CharactersWithSpaces>39151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2023-11-30T00:46:00Z</cp:lastPrinted>
  <dcterms:modified xsi:type="dcterms:W3CDTF">2023-12-01T01:40:22Z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1B014D865A1F40F2BAD933BBB5EA5426_13</vt:lpwstr>
  </property>
</Properties>
</file>