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六安市金安区东桥镇人民政府</w:t>
      </w:r>
      <w:r>
        <w:rPr>
          <w:rFonts w:hint="eastAsia" w:ascii="方正小标宋简体" w:hAnsi="方正小标宋简体" w:eastAsia="方正小标宋简体" w:cs="方正小标宋简体"/>
          <w:sz w:val="44"/>
          <w:szCs w:val="44"/>
          <w:lang w:val="en-US" w:eastAsia="zh-CN"/>
        </w:rPr>
        <w:t>2021年</w:t>
      </w:r>
    </w:p>
    <w:p>
      <w:pPr>
        <w:bidi w:val="0"/>
        <w:jc w:val="center"/>
        <w:rPr>
          <w:rFonts w:hint="default" w:ascii="方正仿宋_GB2312" w:hAnsi="方正仿宋_GB2312" w:eastAsia="方正仿宋_GB2312" w:cs="方正仿宋_GB2312"/>
          <w:sz w:val="32"/>
          <w:szCs w:val="32"/>
          <w:lang w:val="en-US" w:eastAsia="zh-CN"/>
        </w:rPr>
      </w:pPr>
      <w:r>
        <w:rPr>
          <w:rFonts w:hint="eastAsia" w:ascii="方正小标宋简体" w:hAnsi="方正小标宋简体" w:eastAsia="方正小标宋简体" w:cs="方正小标宋简体"/>
          <w:sz w:val="44"/>
          <w:szCs w:val="44"/>
          <w:lang w:val="en-US" w:eastAsia="zh-CN"/>
        </w:rPr>
        <w:t>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根据新修订《中华人民共和国政府信息公开条例》（以下简称《条例》），结合上级有关文件精神等要求，编制2021年度金安区东桥镇信息公开年度报告。全文包括总体情况、主动公开政府信息情况、收到和处理政府信息公开申请情况、作被申请行政复议、提起行政诉讼情况、存在的主要问题和改进情况和其他需要报告的事项。本年度报告中使用数据统计期限为2021年1月1日至2021年12月31日，本年度报告电子版可在金安区东桥镇信息公开平台下载。如对本报告有任何疑问，请与金安区东桥镇人民政府联系（地址：六安市金安区东桥镇街道；邮编：237162；联系电话：0564-2481401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2021年，金安区东桥镇政务公开工作以习近平新时代中国特色社会主义思想为指导，认真贯彻党的十九大和十九届二中、三中、四中、五中、六中全会精神，全面贯彻落实《中华人民共和国政府信息公开条例》和《国务院办公厅关于印发2020年政务公开工作要点的通知》《安徽省人民政府办公厅关于印发2020年政务公开重点工作任务分工的通知》《安徽省政府公开办公室关于开展政务公开“六提六促”专项行动的通知》要求，立足镇镇工作实际，开拓创新，推动东桥镇政务公开工作再上新台阶。2021年，通过门户网站平台主动公开信息1224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一年来，东桥镇严格贯彻落实《中华人民共和国政府信息公开条例》，通过精细顶层设计、加大宣传解读、强化制度保障和加强监督管理，取得了政府信息公开工作的扎实成效。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1.主动公开：2021年，我镇网站信息公开1224条，主动公开《金安区东桥镇“十四五”国民经济和社会发展工作计划》、农业、林业、现代渔业等相关发展规划和专项解读，合计12条；东桥镇2021年财政预算以及执行情况、2020年度“三公”经费公开情况、债券债务等相关信息10条；惠民惠农政策和资金发放相关信息5条；疫情防控、控制传染病等相关信息14条，回应关切类信息31条，决策公开类信息24条，意见采纳类信息14条，应急管理及应急预案类信息30条，政策解读类信息22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依申请公开：围绕群众关切，我镇严格按照依申请公开流程“提出申请、登记、补正、拟办、办理、征求第三方意见、审核、做出答复、存档”，及时给予群众答复。全年共收到政府信息公开申请0件，未发生因政府信息公开引发行政复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3.政府信息管理：一是明确信息管理责任，及时召开政务公开专题会，要求各单位政府对信息发布加强审核把关，按照“分级审核、先审后发”程序。二是规范信息管理流程，由部门负责人、分管领导、党政办工作人员逐级承担，负责把关政府信息的语言文字，进行全面细致的检查，避免出现错敏字、病句、文字表述不规范等低级错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4.政府信息公开平台建设情况：2021年，我镇严格按照区政府统一部署，对本镇基层政务公开标准化规范化栏目进行调整、规范，同时，对各个栏目发布情况进行及时更新、充实；对全镇16个村村务公开等工作统筹监管，确保村（居）务公开工作规范开展。同时，党政办、政法和司法所、财政所、项目办等相关部门定期召开工作例会，内容包括开展对相关工作人员的培训，通过岗位自查的形式对政府信息公开工作进行指导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5.监督保障：2021年，我镇对各级部门反馈问题清单进行及时整改，发布相关整改结果信息6条，强化责任追究，责令问题单位现场整改；召开政务工作培训会议4次，发布政务公开相关交流稿件、经验做法、工作总结等信息13条。同时，组织专人定期对政府信息公开工作进行考核，加强内部监督和社会评议、动员各种社会力量参与监督；镇纪委强化监督检查，严格责任追究，推动形成政府信息公开工作正面引导、积极整改的良好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二、主动公开政府信息情况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信息内容</w:t>
            </w:r>
          </w:p>
        </w:tc>
        <w:tc>
          <w:tcPr>
            <w:tcW w:w="2435" w:type="dxa"/>
            <w:tcBorders>
              <w:top w:val="single" w:color="auto" w:sz="8" w:space="0"/>
              <w:left w:val="nil"/>
              <w:bottom w:val="single" w:color="auto" w:sz="8" w:space="0"/>
              <w:right w:val="single" w:color="auto" w:sz="8"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本年制发件数</w:t>
            </w:r>
          </w:p>
        </w:tc>
        <w:tc>
          <w:tcPr>
            <w:tcW w:w="2435" w:type="dxa"/>
            <w:tcBorders>
              <w:top w:val="single" w:color="auto" w:sz="8" w:space="0"/>
              <w:left w:val="nil"/>
              <w:bottom w:val="single" w:color="auto" w:sz="8" w:space="0"/>
              <w:right w:val="single" w:color="auto" w:sz="8"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本年废止件数</w:t>
            </w:r>
          </w:p>
        </w:tc>
        <w:tc>
          <w:tcPr>
            <w:tcW w:w="2435" w:type="dxa"/>
            <w:tcBorders>
              <w:top w:val="single" w:color="auto" w:sz="8" w:space="0"/>
              <w:left w:val="nil"/>
              <w:bottom w:val="single" w:color="auto" w:sz="8" w:space="0"/>
              <w:right w:val="single" w:color="auto" w:sz="8"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规章</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行政规范性文件</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信息内容</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行政许可</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信息内容</w:t>
            </w:r>
          </w:p>
        </w:tc>
        <w:tc>
          <w:tcPr>
            <w:tcW w:w="7305" w:type="dxa"/>
            <w:gridSpan w:val="3"/>
            <w:tcBorders>
              <w:top w:val="single" w:color="auto" w:sz="8" w:space="0"/>
              <w:left w:val="nil"/>
              <w:bottom w:val="single" w:color="auto" w:sz="8" w:space="0"/>
              <w:right w:val="single" w:color="auto" w:sz="8"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行政处罚</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行政强制</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信息内容</w:t>
            </w:r>
          </w:p>
        </w:tc>
        <w:tc>
          <w:tcPr>
            <w:tcW w:w="7305" w:type="dxa"/>
            <w:gridSpan w:val="3"/>
            <w:tcBorders>
              <w:top w:val="nil"/>
              <w:left w:val="nil"/>
              <w:bottom w:val="single" w:color="auto" w:sz="8" w:space="0"/>
              <w:right w:val="single" w:color="000000" w:sz="8"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行政事业性收费</w:t>
            </w:r>
          </w:p>
        </w:tc>
        <w:tc>
          <w:tcPr>
            <w:tcW w:w="7305" w:type="dxa"/>
            <w:gridSpan w:val="3"/>
            <w:tcBorders>
              <w:top w:val="nil"/>
              <w:left w:val="nil"/>
              <w:bottom w:val="single" w:color="auto" w:sz="8" w:space="0"/>
              <w:right w:val="single" w:color="000000" w:sz="8"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bookmarkStart w:id="0" w:name="_GoBack"/>
      <w:bookmarkEnd w:id="0"/>
      <w:r>
        <w:rPr>
          <w:rFonts w:hint="eastAsia" w:ascii="黑体" w:hAnsi="黑体" w:eastAsia="黑体" w:cs="黑体"/>
          <w:sz w:val="32"/>
          <w:szCs w:val="32"/>
          <w:lang w:val="en-US" w:eastAsia="zh-CN"/>
        </w:rPr>
        <w:t>三、收到和处理政府信息公开申请情况</w:t>
      </w:r>
    </w:p>
    <w:tbl>
      <w:tblPr>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4929" w:type="dxa"/>
            <w:gridSpan w:val="3"/>
            <w:vMerge w:val="restart"/>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（本列数据的勾稽关系为：第一项加第二项之和，等于第三项加第四项之和）</w:t>
            </w:r>
          </w:p>
        </w:tc>
        <w:tc>
          <w:tcPr>
            <w:tcW w:w="4816" w:type="dxa"/>
            <w:gridSpan w:val="7"/>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29" w:type="dxa"/>
            <w:gridSpan w:val="3"/>
            <w:vMerge w:val="continue"/>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bidi w:val="0"/>
              <w:rPr>
                <w:rFonts w:hint="eastAsia" w:ascii="宋体" w:hAnsi="宋体" w:eastAsia="宋体" w:cs="宋体"/>
                <w:sz w:val="24"/>
                <w:szCs w:val="24"/>
              </w:rPr>
            </w:pPr>
          </w:p>
        </w:tc>
        <w:tc>
          <w:tcPr>
            <w:tcW w:w="688" w:type="dxa"/>
            <w:vMerge w:val="restart"/>
            <w:tcBorders>
              <w:top w:val="nil"/>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自然人</w:t>
            </w:r>
          </w:p>
        </w:tc>
        <w:tc>
          <w:tcPr>
            <w:tcW w:w="3440" w:type="dxa"/>
            <w:gridSpan w:val="5"/>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法人或其他组织</w:t>
            </w:r>
          </w:p>
        </w:tc>
        <w:tc>
          <w:tcPr>
            <w:tcW w:w="688" w:type="dxa"/>
            <w:vMerge w:val="restart"/>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29" w:type="dxa"/>
            <w:gridSpan w:val="3"/>
            <w:vMerge w:val="continue"/>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bidi w:val="0"/>
              <w:rPr>
                <w:rFonts w:hint="eastAsia" w:ascii="宋体" w:hAnsi="宋体" w:eastAsia="宋体" w:cs="宋体"/>
                <w:sz w:val="24"/>
                <w:szCs w:val="24"/>
              </w:rPr>
            </w:pPr>
          </w:p>
        </w:tc>
        <w:tc>
          <w:tcPr>
            <w:tcW w:w="688" w:type="dxa"/>
            <w:vMerge w:val="continue"/>
            <w:tcBorders>
              <w:top w:val="nil"/>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p>
        </w:tc>
        <w:tc>
          <w:tcPr>
            <w:tcW w:w="688"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商业</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企业</w:t>
            </w:r>
          </w:p>
        </w:tc>
        <w:tc>
          <w:tcPr>
            <w:tcW w:w="688"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科研</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机构</w:t>
            </w:r>
          </w:p>
        </w:tc>
        <w:tc>
          <w:tcPr>
            <w:tcW w:w="688"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社会公益组织</w:t>
            </w:r>
          </w:p>
        </w:tc>
        <w:tc>
          <w:tcPr>
            <w:tcW w:w="688"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法律服务机构</w:t>
            </w:r>
          </w:p>
        </w:tc>
        <w:tc>
          <w:tcPr>
            <w:tcW w:w="688"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其他</w:t>
            </w:r>
          </w:p>
        </w:tc>
        <w:tc>
          <w:tcPr>
            <w:tcW w:w="688" w:type="dxa"/>
            <w:vMerge w:val="continue"/>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bidi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29" w:type="dxa"/>
            <w:gridSpan w:val="3"/>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一、本年新收政府信息公开申请数量</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29" w:type="dxa"/>
            <w:gridSpan w:val="3"/>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二、上年结转政府信息公开申请数量</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restart"/>
            <w:tcBorders>
              <w:top w:val="nil"/>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三、本年度办理结果</w:t>
            </w:r>
          </w:p>
        </w:tc>
        <w:tc>
          <w:tcPr>
            <w:tcW w:w="4162" w:type="dxa"/>
            <w:gridSpan w:val="2"/>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（一）予以公开</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p>
        </w:tc>
        <w:tc>
          <w:tcPr>
            <w:tcW w:w="4162" w:type="dxa"/>
            <w:gridSpan w:val="2"/>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（二）部分公开（区分处理的，只计这一情形，不计其他情形）</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p>
        </w:tc>
        <w:tc>
          <w:tcPr>
            <w:tcW w:w="943" w:type="dxa"/>
            <w:vMerge w:val="restart"/>
            <w:tcBorders>
              <w:top w:val="nil"/>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（三）不予公开</w:t>
            </w:r>
          </w:p>
        </w:tc>
        <w:tc>
          <w:tcPr>
            <w:tcW w:w="321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1.属于国家秘密</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p>
        </w:tc>
        <w:tc>
          <w:tcPr>
            <w:tcW w:w="943" w:type="dxa"/>
            <w:vMerge w:val="continue"/>
            <w:tcBorders>
              <w:top w:val="nil"/>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p>
        </w:tc>
        <w:tc>
          <w:tcPr>
            <w:tcW w:w="321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2.其他法律行政法规禁止公开</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p>
        </w:tc>
        <w:tc>
          <w:tcPr>
            <w:tcW w:w="943" w:type="dxa"/>
            <w:vMerge w:val="continue"/>
            <w:tcBorders>
              <w:top w:val="nil"/>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p>
        </w:tc>
        <w:tc>
          <w:tcPr>
            <w:tcW w:w="321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3.危及“三安全一稳定”</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p>
        </w:tc>
        <w:tc>
          <w:tcPr>
            <w:tcW w:w="943" w:type="dxa"/>
            <w:vMerge w:val="continue"/>
            <w:tcBorders>
              <w:top w:val="nil"/>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p>
        </w:tc>
        <w:tc>
          <w:tcPr>
            <w:tcW w:w="321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4.保护第三方合法权益</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p>
        </w:tc>
        <w:tc>
          <w:tcPr>
            <w:tcW w:w="943" w:type="dxa"/>
            <w:vMerge w:val="continue"/>
            <w:tcBorders>
              <w:top w:val="nil"/>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p>
        </w:tc>
        <w:tc>
          <w:tcPr>
            <w:tcW w:w="321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5.属于三类内部事务信息</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p>
        </w:tc>
        <w:tc>
          <w:tcPr>
            <w:tcW w:w="943" w:type="dxa"/>
            <w:vMerge w:val="continue"/>
            <w:tcBorders>
              <w:top w:val="nil"/>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p>
        </w:tc>
        <w:tc>
          <w:tcPr>
            <w:tcW w:w="321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6.属于四类过程性信息</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p>
        </w:tc>
        <w:tc>
          <w:tcPr>
            <w:tcW w:w="943" w:type="dxa"/>
            <w:vMerge w:val="continue"/>
            <w:tcBorders>
              <w:top w:val="nil"/>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p>
        </w:tc>
        <w:tc>
          <w:tcPr>
            <w:tcW w:w="321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7.属于行政执法案卷</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p>
        </w:tc>
        <w:tc>
          <w:tcPr>
            <w:tcW w:w="943" w:type="dxa"/>
            <w:vMerge w:val="continue"/>
            <w:tcBorders>
              <w:top w:val="nil"/>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p>
        </w:tc>
        <w:tc>
          <w:tcPr>
            <w:tcW w:w="321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8.属于行政查询事项</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p>
        </w:tc>
        <w:tc>
          <w:tcPr>
            <w:tcW w:w="943" w:type="dxa"/>
            <w:vMerge w:val="restart"/>
            <w:tcBorders>
              <w:top w:val="nil"/>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（四）无法提供</w:t>
            </w:r>
          </w:p>
        </w:tc>
        <w:tc>
          <w:tcPr>
            <w:tcW w:w="321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1.本机关不掌握相关政府信息</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p>
        </w:tc>
        <w:tc>
          <w:tcPr>
            <w:tcW w:w="943" w:type="dxa"/>
            <w:vMerge w:val="continue"/>
            <w:tcBorders>
              <w:top w:val="nil"/>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p>
        </w:tc>
        <w:tc>
          <w:tcPr>
            <w:tcW w:w="321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2.没有现成信息需要另行制作</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p>
        </w:tc>
        <w:tc>
          <w:tcPr>
            <w:tcW w:w="943" w:type="dxa"/>
            <w:vMerge w:val="continue"/>
            <w:tcBorders>
              <w:top w:val="nil"/>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p>
        </w:tc>
        <w:tc>
          <w:tcPr>
            <w:tcW w:w="321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3.补正后申请内容仍不明确</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restart"/>
            <w:tcBorders>
              <w:top w:val="nil"/>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三、本年度办理结果</w:t>
            </w:r>
          </w:p>
        </w:tc>
        <w:tc>
          <w:tcPr>
            <w:tcW w:w="943" w:type="dxa"/>
            <w:vMerge w:val="restart"/>
            <w:tcBorders>
              <w:top w:val="nil"/>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（五）不予处理</w:t>
            </w:r>
          </w:p>
        </w:tc>
        <w:tc>
          <w:tcPr>
            <w:tcW w:w="321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1.信访举报投诉类申请</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p>
        </w:tc>
        <w:tc>
          <w:tcPr>
            <w:tcW w:w="943" w:type="dxa"/>
            <w:vMerge w:val="continue"/>
            <w:tcBorders>
              <w:top w:val="nil"/>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p>
        </w:tc>
        <w:tc>
          <w:tcPr>
            <w:tcW w:w="321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2.重复申请</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p>
        </w:tc>
        <w:tc>
          <w:tcPr>
            <w:tcW w:w="943" w:type="dxa"/>
            <w:vMerge w:val="continue"/>
            <w:tcBorders>
              <w:top w:val="nil"/>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p>
        </w:tc>
        <w:tc>
          <w:tcPr>
            <w:tcW w:w="321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3.要求提供公开出版物</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p>
        </w:tc>
        <w:tc>
          <w:tcPr>
            <w:tcW w:w="943" w:type="dxa"/>
            <w:vMerge w:val="continue"/>
            <w:tcBorders>
              <w:top w:val="nil"/>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p>
        </w:tc>
        <w:tc>
          <w:tcPr>
            <w:tcW w:w="321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4.无正当理由大量反复申请</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p>
        </w:tc>
        <w:tc>
          <w:tcPr>
            <w:tcW w:w="943" w:type="dxa"/>
            <w:vMerge w:val="continue"/>
            <w:tcBorders>
              <w:top w:val="nil"/>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p>
        </w:tc>
        <w:tc>
          <w:tcPr>
            <w:tcW w:w="321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5.要求行政机关确认或重新出具已获取信息</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p>
        </w:tc>
        <w:tc>
          <w:tcPr>
            <w:tcW w:w="943" w:type="dxa"/>
            <w:vMerge w:val="restart"/>
            <w:tcBorders>
              <w:top w:val="nil"/>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（六）其他处理</w:t>
            </w:r>
          </w:p>
        </w:tc>
        <w:tc>
          <w:tcPr>
            <w:tcW w:w="321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1.申请人无正当理由逾期不补正、行政机关不再处理其政府信息公开申请</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p>
        </w:tc>
        <w:tc>
          <w:tcPr>
            <w:tcW w:w="943" w:type="dxa"/>
            <w:vMerge w:val="continue"/>
            <w:tcBorders>
              <w:top w:val="nil"/>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p>
        </w:tc>
        <w:tc>
          <w:tcPr>
            <w:tcW w:w="321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2.申请人逾期未按收费通知要求缴纳费用、行政机关不再处理其政府信息公开申请</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p>
        </w:tc>
        <w:tc>
          <w:tcPr>
            <w:tcW w:w="943" w:type="dxa"/>
            <w:vMerge w:val="continue"/>
            <w:tcBorders>
              <w:top w:val="nil"/>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p>
        </w:tc>
        <w:tc>
          <w:tcPr>
            <w:tcW w:w="321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3.其他</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p>
        </w:tc>
        <w:tc>
          <w:tcPr>
            <w:tcW w:w="4162" w:type="dxa"/>
            <w:gridSpan w:val="2"/>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（七）总计</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29" w:type="dxa"/>
            <w:gridSpan w:val="3"/>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四、结转下年度继续办理</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8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四、政府信息公开行政复议、行政诉讼情况</w:t>
      </w:r>
    </w:p>
    <w:tbl>
      <w:tblPr>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行政复议</w:t>
            </w:r>
          </w:p>
        </w:tc>
        <w:tc>
          <w:tcPr>
            <w:tcW w:w="6498" w:type="dxa"/>
            <w:gridSpan w:val="10"/>
            <w:tcBorders>
              <w:top w:val="single" w:color="auto" w:sz="8" w:space="0"/>
              <w:left w:val="nil"/>
              <w:bottom w:val="single" w:color="auto" w:sz="8" w:space="0"/>
              <w:right w:val="single" w:color="auto" w:sz="8" w:space="0"/>
            </w:tcBorders>
            <w:shd w:val="clear"/>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结果维持</w:t>
            </w:r>
          </w:p>
        </w:tc>
        <w:tc>
          <w:tcPr>
            <w:tcW w:w="649" w:type="dxa"/>
            <w:vMerge w:val="restart"/>
            <w:tcBorders>
              <w:top w:val="nil"/>
              <w:left w:val="nil"/>
              <w:bottom w:val="single" w:color="auto" w:sz="8" w:space="0"/>
              <w:right w:val="single" w:color="auto" w:sz="8" w:space="0"/>
            </w:tcBorders>
            <w:shd w:val="clear"/>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结果纠正</w:t>
            </w:r>
          </w:p>
        </w:tc>
        <w:tc>
          <w:tcPr>
            <w:tcW w:w="649"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其他结果</w:t>
            </w:r>
          </w:p>
        </w:tc>
        <w:tc>
          <w:tcPr>
            <w:tcW w:w="649"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尚未审结</w:t>
            </w:r>
          </w:p>
        </w:tc>
        <w:tc>
          <w:tcPr>
            <w:tcW w:w="649"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总计</w:t>
            </w:r>
          </w:p>
        </w:tc>
        <w:tc>
          <w:tcPr>
            <w:tcW w:w="3248"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未经复议直接起诉</w:t>
            </w:r>
          </w:p>
        </w:tc>
        <w:tc>
          <w:tcPr>
            <w:tcW w:w="3250"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bidi w:val="0"/>
              <w:rPr>
                <w:rFonts w:hint="eastAsia" w:ascii="宋体" w:hAnsi="宋体" w:eastAsia="宋体" w:cs="宋体"/>
                <w:sz w:val="24"/>
                <w:szCs w:val="24"/>
              </w:rPr>
            </w:pPr>
          </w:p>
        </w:tc>
        <w:tc>
          <w:tcPr>
            <w:tcW w:w="649" w:type="dxa"/>
            <w:vMerge w:val="continue"/>
            <w:tcBorders>
              <w:top w:val="nil"/>
              <w:left w:val="nil"/>
              <w:bottom w:val="single" w:color="auto" w:sz="8" w:space="0"/>
              <w:right w:val="single" w:color="auto" w:sz="8" w:space="0"/>
            </w:tcBorders>
            <w:shd w:val="clear"/>
            <w:tcMar>
              <w:left w:w="108" w:type="dxa"/>
              <w:right w:w="108" w:type="dxa"/>
            </w:tcMar>
            <w:vAlign w:val="center"/>
          </w:tcPr>
          <w:p>
            <w:pPr>
              <w:bidi w:val="0"/>
              <w:rPr>
                <w:rFonts w:hint="eastAsia" w:ascii="宋体" w:hAnsi="宋体" w:eastAsia="宋体" w:cs="宋体"/>
                <w:sz w:val="24"/>
                <w:szCs w:val="24"/>
              </w:rPr>
            </w:pPr>
          </w:p>
        </w:tc>
        <w:tc>
          <w:tcPr>
            <w:tcW w:w="649"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bidi w:val="0"/>
              <w:rPr>
                <w:rFonts w:hint="eastAsia" w:ascii="宋体" w:hAnsi="宋体" w:eastAsia="宋体" w:cs="宋体"/>
                <w:sz w:val="24"/>
                <w:szCs w:val="24"/>
              </w:rPr>
            </w:pPr>
          </w:p>
        </w:tc>
        <w:tc>
          <w:tcPr>
            <w:tcW w:w="649"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bidi w:val="0"/>
              <w:rPr>
                <w:rFonts w:hint="eastAsia" w:ascii="宋体" w:hAnsi="宋体" w:eastAsia="宋体" w:cs="宋体"/>
                <w:sz w:val="24"/>
                <w:szCs w:val="24"/>
              </w:rPr>
            </w:pPr>
          </w:p>
        </w:tc>
        <w:tc>
          <w:tcPr>
            <w:tcW w:w="649"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bidi w:val="0"/>
              <w:rPr>
                <w:rFonts w:hint="eastAsia" w:ascii="宋体" w:hAnsi="宋体" w:eastAsia="宋体" w:cs="宋体"/>
                <w:sz w:val="24"/>
                <w:szCs w:val="24"/>
              </w:rPr>
            </w:pPr>
          </w:p>
        </w:tc>
        <w:tc>
          <w:tcPr>
            <w:tcW w:w="649" w:type="dxa"/>
            <w:tcBorders>
              <w:top w:val="nil"/>
              <w:left w:val="nil"/>
              <w:bottom w:val="single" w:color="auto" w:sz="8" w:space="0"/>
              <w:right w:val="single" w:color="auto" w:sz="8" w:space="0"/>
            </w:tcBorders>
            <w:shd w:val="clear"/>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结果维持</w:t>
            </w:r>
          </w:p>
        </w:tc>
        <w:tc>
          <w:tcPr>
            <w:tcW w:w="649" w:type="dxa"/>
            <w:tcBorders>
              <w:top w:val="nil"/>
              <w:left w:val="nil"/>
              <w:bottom w:val="single" w:color="auto" w:sz="8" w:space="0"/>
              <w:right w:val="single" w:color="auto" w:sz="8" w:space="0"/>
            </w:tcBorders>
            <w:shd w:val="clear"/>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结果纠正</w:t>
            </w:r>
          </w:p>
        </w:tc>
        <w:tc>
          <w:tcPr>
            <w:tcW w:w="650" w:type="dxa"/>
            <w:tcBorders>
              <w:top w:val="single" w:color="auto" w:sz="8" w:space="0"/>
              <w:left w:val="nil"/>
              <w:bottom w:val="single" w:color="auto" w:sz="8" w:space="0"/>
              <w:right w:val="single" w:color="auto" w:sz="8" w:space="0"/>
            </w:tcBorders>
            <w:shd w:val="clear"/>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其他结果</w:t>
            </w:r>
          </w:p>
        </w:tc>
        <w:tc>
          <w:tcPr>
            <w:tcW w:w="650" w:type="dxa"/>
            <w:tcBorders>
              <w:top w:val="single" w:color="auto" w:sz="8" w:space="0"/>
              <w:left w:val="nil"/>
              <w:bottom w:val="single" w:color="auto" w:sz="8" w:space="0"/>
              <w:right w:val="single" w:color="auto" w:sz="8" w:space="0"/>
            </w:tcBorders>
            <w:shd w:val="clear"/>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尚未审结</w:t>
            </w:r>
          </w:p>
        </w:tc>
        <w:tc>
          <w:tcPr>
            <w:tcW w:w="650" w:type="dxa"/>
            <w:tcBorders>
              <w:top w:val="single" w:color="auto" w:sz="8" w:space="0"/>
              <w:left w:val="nil"/>
              <w:bottom w:val="single" w:color="auto" w:sz="8" w:space="0"/>
              <w:right w:val="single" w:color="auto" w:sz="8" w:space="0"/>
            </w:tcBorders>
            <w:shd w:val="clear"/>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总计</w:t>
            </w:r>
          </w:p>
        </w:tc>
        <w:tc>
          <w:tcPr>
            <w:tcW w:w="650" w:type="dxa"/>
            <w:tcBorders>
              <w:top w:val="single" w:color="auto" w:sz="8" w:space="0"/>
              <w:left w:val="nil"/>
              <w:bottom w:val="single" w:color="auto" w:sz="8" w:space="0"/>
              <w:right w:val="single" w:color="auto" w:sz="8" w:space="0"/>
            </w:tcBorders>
            <w:shd w:val="clear"/>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结果维持</w:t>
            </w:r>
          </w:p>
        </w:tc>
        <w:tc>
          <w:tcPr>
            <w:tcW w:w="650" w:type="dxa"/>
            <w:tcBorders>
              <w:top w:val="single" w:color="auto" w:sz="8" w:space="0"/>
              <w:left w:val="nil"/>
              <w:bottom w:val="single" w:color="auto" w:sz="8" w:space="0"/>
              <w:right w:val="single" w:color="auto" w:sz="8" w:space="0"/>
            </w:tcBorders>
            <w:shd w:val="clear"/>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结果纠正</w:t>
            </w:r>
          </w:p>
        </w:tc>
        <w:tc>
          <w:tcPr>
            <w:tcW w:w="650" w:type="dxa"/>
            <w:tcBorders>
              <w:top w:val="single" w:color="auto" w:sz="8" w:space="0"/>
              <w:left w:val="nil"/>
              <w:bottom w:val="single" w:color="auto" w:sz="8" w:space="0"/>
              <w:right w:val="single" w:color="auto" w:sz="8" w:space="0"/>
            </w:tcBorders>
            <w:shd w:val="clear"/>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其他结果</w:t>
            </w:r>
          </w:p>
        </w:tc>
        <w:tc>
          <w:tcPr>
            <w:tcW w:w="650" w:type="dxa"/>
            <w:tcBorders>
              <w:top w:val="single" w:color="auto" w:sz="8" w:space="0"/>
              <w:left w:val="nil"/>
              <w:bottom w:val="single" w:color="auto" w:sz="8" w:space="0"/>
              <w:right w:val="single" w:color="auto" w:sz="8" w:space="0"/>
            </w:tcBorders>
            <w:shd w:val="clear"/>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尚未审结</w:t>
            </w:r>
          </w:p>
        </w:tc>
        <w:tc>
          <w:tcPr>
            <w:tcW w:w="650" w:type="dxa"/>
            <w:tcBorders>
              <w:top w:val="single" w:color="auto" w:sz="8" w:space="0"/>
              <w:left w:val="nil"/>
              <w:bottom w:val="single" w:color="auto" w:sz="8" w:space="0"/>
              <w:right w:val="single" w:color="auto" w:sz="8" w:space="0"/>
            </w:tcBorders>
            <w:shd w:val="clear"/>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shd w:val="clear"/>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49" w:type="dxa"/>
            <w:tcBorders>
              <w:top w:val="nil"/>
              <w:left w:val="nil"/>
              <w:bottom w:val="single" w:color="auto" w:sz="8" w:space="0"/>
              <w:right w:val="single" w:color="auto" w:sz="8" w:space="0"/>
            </w:tcBorders>
            <w:shd w:val="clear"/>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49" w:type="dxa"/>
            <w:tcBorders>
              <w:top w:val="nil"/>
              <w:left w:val="nil"/>
              <w:bottom w:val="single" w:color="auto" w:sz="8" w:space="0"/>
              <w:right w:val="single" w:color="auto" w:sz="8" w:space="0"/>
            </w:tcBorders>
            <w:shd w:val="clear"/>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49" w:type="dxa"/>
            <w:tcBorders>
              <w:top w:val="nil"/>
              <w:left w:val="nil"/>
              <w:bottom w:val="single" w:color="auto" w:sz="8" w:space="0"/>
              <w:right w:val="single" w:color="auto" w:sz="8" w:space="0"/>
            </w:tcBorders>
            <w:shd w:val="clear"/>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49" w:type="dxa"/>
            <w:tcBorders>
              <w:top w:val="nil"/>
              <w:left w:val="nil"/>
              <w:bottom w:val="single" w:color="auto" w:sz="8" w:space="0"/>
              <w:right w:val="single" w:color="auto" w:sz="8" w:space="0"/>
            </w:tcBorders>
            <w:shd w:val="clear"/>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49" w:type="dxa"/>
            <w:tcBorders>
              <w:top w:val="nil"/>
              <w:left w:val="nil"/>
              <w:bottom w:val="single" w:color="auto" w:sz="8" w:space="0"/>
              <w:right w:val="single" w:color="auto" w:sz="8" w:space="0"/>
            </w:tcBorders>
            <w:shd w:val="clear"/>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49" w:type="dxa"/>
            <w:tcBorders>
              <w:top w:val="nil"/>
              <w:left w:val="nil"/>
              <w:bottom w:val="single" w:color="auto" w:sz="8" w:space="0"/>
              <w:right w:val="single" w:color="auto" w:sz="8" w:space="0"/>
            </w:tcBorders>
            <w:shd w:val="clear"/>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我镇2021年度政务信息公开工作虽然取得了一定的成绩，但仍然存在不足，一是政务公开业务经办人员整体的专业化、理论化水平不高；二是部分领域政府信息公开深度不够、质量不高、内容不全，督促检查力度不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为进一步做好2022年政务信息公开工作，我镇下一步将：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一是认真抓好政务公开学习培训。定期开展镇村两级政务公开业务培训，加强经办人员间的交流，积极向上级部门和其他优秀镇镇学习政务公开先进经验，切实提高镇村政务公开整体工作水平。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二是继续深化公开内容，规范公开程序，保证公开时效性。明确政务信息基础栏目和标准化规范化栏目的公开内容细则和标准，确保信息公开的透明、迅速、及时、规范。同时加大对政务公开的督促检查力度，实行有效监督，严格责任追究，进一步提高我镇政务公开工作的质量和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按照《国务院办公厅关于印发〈政府信息公开信息处理费管理办法〉的通知》（国办函〔2020〕109号）规定的按件、按量收费标准，本年度没有产生信息公开处理费。</w:t>
      </w:r>
    </w:p>
    <w:p>
      <w:pPr>
        <w:rPr>
          <w:rFonts w:hint="eastAsia" w:ascii="方正仿宋_GB2312" w:hAnsi="方正仿宋_GB2312" w:eastAsia="方正仿宋_GB2312" w:cs="方正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yNzcyZDJhYzkxMDZkMDM3Mjg4OGE5NWE0YzBjZmMifQ=="/>
  </w:docVars>
  <w:rsids>
    <w:rsidRoot w:val="00000000"/>
    <w:rsid w:val="001347CD"/>
    <w:rsid w:val="01BC1231"/>
    <w:rsid w:val="087F0F68"/>
    <w:rsid w:val="090C7937"/>
    <w:rsid w:val="13EF2143"/>
    <w:rsid w:val="16EF25D6"/>
    <w:rsid w:val="17773E91"/>
    <w:rsid w:val="17963FE7"/>
    <w:rsid w:val="1CBC3F4F"/>
    <w:rsid w:val="1DFC0113"/>
    <w:rsid w:val="1E380648"/>
    <w:rsid w:val="1E7950D6"/>
    <w:rsid w:val="1F3753C6"/>
    <w:rsid w:val="1F3A456D"/>
    <w:rsid w:val="21E72AC6"/>
    <w:rsid w:val="220577C7"/>
    <w:rsid w:val="22350331"/>
    <w:rsid w:val="23590FE8"/>
    <w:rsid w:val="25692998"/>
    <w:rsid w:val="2576088B"/>
    <w:rsid w:val="27FD6E51"/>
    <w:rsid w:val="29B837F9"/>
    <w:rsid w:val="2A06670E"/>
    <w:rsid w:val="2CD45E76"/>
    <w:rsid w:val="34351D30"/>
    <w:rsid w:val="348D7F6B"/>
    <w:rsid w:val="35437E02"/>
    <w:rsid w:val="37915CA0"/>
    <w:rsid w:val="38AD3E6E"/>
    <w:rsid w:val="3C3531CD"/>
    <w:rsid w:val="3C727B18"/>
    <w:rsid w:val="3CDE678D"/>
    <w:rsid w:val="3EA804D3"/>
    <w:rsid w:val="46DB739D"/>
    <w:rsid w:val="473B7685"/>
    <w:rsid w:val="47756881"/>
    <w:rsid w:val="490D5CD9"/>
    <w:rsid w:val="4BD8031F"/>
    <w:rsid w:val="4BED07ED"/>
    <w:rsid w:val="4DAA7CC9"/>
    <w:rsid w:val="4E1C72D3"/>
    <w:rsid w:val="50617458"/>
    <w:rsid w:val="5098775A"/>
    <w:rsid w:val="52144AAD"/>
    <w:rsid w:val="533B0828"/>
    <w:rsid w:val="5B2D4CCF"/>
    <w:rsid w:val="5F4E2B38"/>
    <w:rsid w:val="60A651F8"/>
    <w:rsid w:val="60FF60D0"/>
    <w:rsid w:val="61DF3233"/>
    <w:rsid w:val="61F11386"/>
    <w:rsid w:val="65631181"/>
    <w:rsid w:val="65F952E2"/>
    <w:rsid w:val="674E7C00"/>
    <w:rsid w:val="68E214D1"/>
    <w:rsid w:val="690B717D"/>
    <w:rsid w:val="6BD31C0C"/>
    <w:rsid w:val="6E9550F4"/>
    <w:rsid w:val="70484B2C"/>
    <w:rsid w:val="7124661B"/>
    <w:rsid w:val="71863378"/>
    <w:rsid w:val="72D71C8D"/>
    <w:rsid w:val="770F64D9"/>
    <w:rsid w:val="79AB6836"/>
    <w:rsid w:val="7A523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2021-04-14T07:13:00Z</dcterms:created>
  <dc:creator>Administrator</dc:creator>
  <cp:lastModifiedBy>陈龙</cp:lastModifiedBy>
  <dcterms:modified xsi:type="dcterms:W3CDTF">2024-02-21T00:41:31Z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1531D4F67DD94292BBF5F9FD976F859F</vt:lpwstr>
  </property>
</Properties>
</file>