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8E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金安区经济和信息化局20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19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年政府信息公开工作</w:t>
      </w:r>
    </w:p>
    <w:p w14:paraId="7F8C3B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年度报告</w:t>
      </w:r>
    </w:p>
    <w:p w14:paraId="058918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新修订《中华人民共和国政府信息公开条例》（以下简称《条例》），结合上级有关文件精神等要求，编制2019年度六安市金安区经济和信息化局信息公开年度报告。全文包括总体情况、主动公开政府信息情况、收到和处理政府信息公开申请情况、作被申请行政复议、提起行政诉讼情况、存在的主要问题和改进情况和其他需要报告的事项。本年度报告中使用数据统计期限为2019年1月1日至2019年12月31日，本年度报告电子版可在六安市经济和信息化局信息公开平台下载。如对本报告有任何疑问，请与六安市金安区经济和信息化局联系（地址：六安市安丰路与佛子岭路交口金安区行政中心前楼5楼西侧；邮编：237000；联系电话：0564-3261603）。</w:t>
      </w:r>
    </w:p>
    <w:p w14:paraId="4030037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总体情况</w:t>
      </w:r>
    </w:p>
    <w:p w14:paraId="57376B4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年，在区委区政府的高度重视下，在区政务公开办的精心指导下，金安区经信局政务公开工作认真贯彻落实新《中华人民共和国政府信息公开条例》等文件要求，紧紧围绕发展大局，结合六安经济高质量发展工作，严格遵循“以公开为原则，不公开为例外”的要求，有力推动我局信息公开纵深开展，不断拓展公开内容，创新公开形式，完善公开制度，强化公开监督，取得了一定成效。</w:t>
      </w:r>
    </w:p>
    <w:p w14:paraId="7D94C8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2019年累计主动公开政府信息375条，全文电子化率达100%，全部为本年度新增信息。在主动公开的信息中，回复群众留言1条，解读政策22件。依托安徽省政务服务网六安分厅，全面推进“互联网+政务服务”，积极做好网上服务事项、办事指南、办理结果等信息公开。把六安市金安区经济和信息化局网站列为公开信息的重要途径，开设精准脱贫、重大项目建设、高质量发展等专栏，将局有关信息及时公开在对应栏目。</w:t>
      </w:r>
    </w:p>
    <w:p w14:paraId="13B19A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认真贯彻落实《国务院办公厅关于做好政府信息依申请公开工作的意见》，深入研究并进一步完善信息公开网“依申请公开”栏目。我局2019年度共受理信息公开申请0件，其中通过金安区政府网站依提交的网上申请有0件；通过电子邮件提交的申请有0件。</w:t>
      </w:r>
    </w:p>
    <w:p w14:paraId="273319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一是加强组织领导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，建立了局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主要领导亲自抓、分管领导具体抓、具体工作专人干的工作机制，安排专人负责全局信息公开维护和更新，并认真做好年度报告编制、年度信息公开统计报表和政府网站年度报表等数据统计和报送工作。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二是完善工作机制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围绕政府信息公开的范围、内容、形式等，建立健全信息公开审核、保密安全制度，要求遵循“谁公开、谁负责”和“先审查、后公开”的原则，对拟公开的信息均应进行逐级审核，确保内容准确、表述规范，可公开，做到全程留痕、有据可查。</w:t>
      </w:r>
    </w:p>
    <w:p w14:paraId="35482D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（四）平台建设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一是定期安排网站平台的维护、更新，配合做好上级安全评估和审查。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2019年上级安全检测评估2次，未发现问题。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二是及时调整政务公开目录。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区电子政务办要求，我局对照政府信息公开主动公开目录规范2019年版，认真编制调整、规范完善主动公开目录。三是强化网站建设，按照上级部门安排实时调整我局信息公开网站栏目，结合我局业务工作及其年度考核需要及时调整专题栏目内容。</w:t>
      </w:r>
    </w:p>
    <w:p w14:paraId="631C44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一是完善制度。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2019年我局建立健全政务公开责任、审议、评议、反馈、备案和监督、保密审查等多种制度。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二是部署落实。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将政务公开列入局重点工作，责任细化到各股室单位，按月总结并统计工作进展情况，结合效能建设、电子政务等工作加以推进落实。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三是多渠道监督。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坚持内部监督和社会监督相结合体系，对外公布投诉举报电话，推进人民群众监督和舆论监督，及时反馈群众呼声。</w:t>
      </w:r>
    </w:p>
    <w:p w14:paraId="521C1B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1217"/>
        <w:gridCol w:w="1218"/>
        <w:gridCol w:w="2435"/>
      </w:tblGrid>
      <w:tr w14:paraId="25A7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719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30B7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646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F24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本年新制作数量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E70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本年新公开数量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27D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对外公开总数量</w:t>
            </w:r>
          </w:p>
        </w:tc>
      </w:tr>
      <w:tr w14:paraId="7379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7C6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34C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3D2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D02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7DD8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1E9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DAA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CA5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774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226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CE6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1F58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1A2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A6B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0F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3E7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6F05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C0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3BF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EA7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A78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825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670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3C1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652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648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989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263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40BF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C5C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7F9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E46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AE0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处理决定数量</w:t>
            </w:r>
          </w:p>
        </w:tc>
      </w:tr>
      <w:tr w14:paraId="5A3F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E48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C86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63B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增1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90E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 w14:paraId="31DD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4EF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FFE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A87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24A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E9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E1A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7EE9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C9A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01A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65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CBA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本年增/减</w:t>
            </w:r>
          </w:p>
        </w:tc>
      </w:tr>
      <w:tr w14:paraId="122E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AA2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4C1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5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030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F4C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351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第二十条第（九）项</w:t>
            </w:r>
          </w:p>
        </w:tc>
      </w:tr>
      <w:tr w14:paraId="7E06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6AD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62F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64A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采购总金额</w:t>
            </w:r>
          </w:p>
        </w:tc>
      </w:tr>
      <w:tr w14:paraId="753B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68B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C10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795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B2B78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76814D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D4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9EB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申请人情况</w:t>
            </w:r>
          </w:p>
        </w:tc>
      </w:tr>
      <w:tr w14:paraId="5F3FFE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CD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F44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8D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ED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007F0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C9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D5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62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商业</w:t>
            </w:r>
          </w:p>
          <w:p w14:paraId="36D488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7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</w:t>
            </w:r>
          </w:p>
          <w:p w14:paraId="31C53A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70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0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90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2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559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81D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BA4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B3B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D31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B06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422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E0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2171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E0030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282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987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F82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AE6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5B3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DD3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8AB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14FB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5815CE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AAC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92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A96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D91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65A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DF0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571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D49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30B3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41ACE8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A33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5C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7E9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CA0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0DA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491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443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86A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19D9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36EA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C9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A90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F73B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B05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A8F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4C7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735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362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40C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D2F2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7B489B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684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540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A030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1AB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47C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ACD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67F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4F3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11E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DFFF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53FF0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445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312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78F8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F03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C8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6D6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EA3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FD9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D44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20F8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3EAE8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5F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66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9A3D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BD6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BFE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415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10E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B31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A68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F5A1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076905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82B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FC5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2F10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B47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0A4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13B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82E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318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C2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329A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211725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06F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583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5B9A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6AA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CFC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2C2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F84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9CE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AD8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EADE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249AB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69D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91D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2BA8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53D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AD7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ED9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6FB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AA3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234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6827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575FA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EC5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2BE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364D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320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2CF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B4A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3DB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2A6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E36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F8CD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3B101F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8E6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DD2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10C0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0F8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38B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BEA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FBF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18D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1A9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E95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35CB3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08D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DCC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FD2D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0EF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3B5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E1A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78E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33B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2E6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3988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1E398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36B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C9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D35B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586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7F9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791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464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EA0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697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3849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4BD722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D3D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B5E4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D03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EE0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569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8DE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182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833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8BB7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568393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D81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71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E6CD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E89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533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2C0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7DB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387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E90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1F1E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3BC65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EE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4A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0428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5E2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BE7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E25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B0D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062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6C0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27BC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6E752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AB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437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8282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AD1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F71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222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3CB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373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085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336E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5AB746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0B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2F4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CB6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5C2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79A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36A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A14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B9D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2D3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00D5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46580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5F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0A7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（六）其他处理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090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386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CF6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924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22D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9C6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C94E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  <w:tr w14:paraId="061EA9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7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D0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6DF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1CA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01B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07A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218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49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778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A6F7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 w14:paraId="0EFA3D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84C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8CA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B60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8F8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D3E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30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45E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E7A2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仿宋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3762E5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4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C5276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0A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6E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 w14:paraId="694D04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32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78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64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A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A1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F9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F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 w14:paraId="64CE2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6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55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A2A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16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D8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D5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C1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A6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92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7E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C3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E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B1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00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99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444FD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9B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F9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3D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98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CD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CE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C1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3C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D7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4C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03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9E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02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83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78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39F2A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 w14:paraId="51243B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2019年，我局政务公开工作经过努力，取得了一定成效，但与公众需求还有差距，主要体现在：</w:t>
      </w:r>
    </w:p>
    <w:p w14:paraId="035DB4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政府信息公开内容不全、不够及时，存在有些法规规章、会议活动没有及时更新的情况。二是形式不新颖，公开便民性需要进一步提高。基本是文字材料，缺乏图片、图表、视频等可视化方式。三是政府信息公开目录还需进一步细化和完善。</w:t>
      </w:r>
    </w:p>
    <w:p w14:paraId="406A42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下一步工作安排：</w:t>
      </w:r>
    </w:p>
    <w:p w14:paraId="0C4405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责任到人促落实。进一步明确分管领导和专职人员，并通过局领导会议、检查和约谈等形式，让相关工作人员明确政务公开的责任主体，从而形成分管领导具体抓、专职人员具体办的工作局面。通过考核、考评，凝聚共识，形成合力，解决突出问题，推进整体工作上台阶。</w:t>
      </w:r>
    </w:p>
    <w:p w14:paraId="1B5206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二是进一步健全和完善信息公开各项制度。规范和完善政务公开的内容、形式，对涉及公众关心的重大问题、重大决策应该公开的及时公开，提高公开针对性、实效性。</w:t>
      </w:r>
    </w:p>
    <w:p w14:paraId="46CA39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三是创新发布内容形式。增加图文详解材料、原材料跳转链接、视频等，更加便于群众查找阅读理解。</w:t>
      </w:r>
    </w:p>
    <w:p w14:paraId="1B1116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四是进一步完善舆情回应机制。紧扣群众关切和请求，做到第一时间发现、收集、上报、研判、核实、处置、发布、回应，坚决避免出现反应迟缓、被动对应、回应不到位、回应效果不理想等问题。</w:t>
      </w:r>
    </w:p>
    <w:p w14:paraId="060ED1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 w14:paraId="32DDA5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暂无其他需要说明的事项。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DDE08"/>
    <w:multiLevelType w:val="singleLevel"/>
    <w:tmpl w:val="B12DDE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MzNhMTQwODdkNzM1NTNlN2Y2Nzc4MTAyNzBjNjUifQ=="/>
  </w:docVars>
  <w:rsids>
    <w:rsidRoot w:val="6DA66F9C"/>
    <w:rsid w:val="016C304D"/>
    <w:rsid w:val="04BA64C7"/>
    <w:rsid w:val="08F655F4"/>
    <w:rsid w:val="0C2F1549"/>
    <w:rsid w:val="1C202572"/>
    <w:rsid w:val="1CF71C0F"/>
    <w:rsid w:val="213276BA"/>
    <w:rsid w:val="233B4C5B"/>
    <w:rsid w:val="26B446CD"/>
    <w:rsid w:val="27734588"/>
    <w:rsid w:val="29EC0622"/>
    <w:rsid w:val="3200110E"/>
    <w:rsid w:val="33BF7188"/>
    <w:rsid w:val="34563267"/>
    <w:rsid w:val="366E6677"/>
    <w:rsid w:val="3A1341FC"/>
    <w:rsid w:val="3E38578C"/>
    <w:rsid w:val="3F2F18A6"/>
    <w:rsid w:val="4DAE5A6A"/>
    <w:rsid w:val="4F917597"/>
    <w:rsid w:val="555553E4"/>
    <w:rsid w:val="564573DF"/>
    <w:rsid w:val="56D72E1C"/>
    <w:rsid w:val="63576530"/>
    <w:rsid w:val="664D3C1B"/>
    <w:rsid w:val="6C1C0317"/>
    <w:rsid w:val="6DA66F9C"/>
    <w:rsid w:val="732D2E0A"/>
    <w:rsid w:val="73C367E3"/>
    <w:rsid w:val="74145D78"/>
    <w:rsid w:val="757A60AE"/>
    <w:rsid w:val="7BA94FF8"/>
    <w:rsid w:val="7B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2792</Words>
  <Characters>2865</Characters>
  <Lines>0</Lines>
  <Paragraphs>0</Paragraphs>
  <TotalTime>11</TotalTime>
  <ScaleCrop>false</ScaleCrop>
  <LinksUpToDate>false</LinksUpToDate>
  <CharactersWithSpaces>2880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2024-02-21T02:35:00Z</dcterms:created>
  <dc:creator>萌、沐兮</dc:creator>
  <cp:lastModifiedBy>富川小朋友</cp:lastModifiedBy>
  <dcterms:modified xsi:type="dcterms:W3CDTF">2024-07-26T02:47:14Z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8F73F1372BD1470A9D6E063443E4ABAA_13</vt:lpwstr>
  </property>
</Properties>
</file>