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A0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eastAsia" w:ascii="仿宋_GB2312" w:hAnsi="Calibri" w:eastAsia="仿宋_GB2312" w:cs="仿宋_GB2312"/>
          <w:i w:val="0"/>
          <w:iCs w:val="0"/>
          <w:caps w:val="0"/>
          <w:color w:val="000000"/>
          <w:spacing w:val="0"/>
          <w:sz w:val="32"/>
          <w:szCs w:val="32"/>
          <w:shd w:val="clear" w:fill="FFFFFF"/>
        </w:rPr>
      </w:pPr>
      <w:r>
        <w:rPr>
          <w:rFonts w:hint="eastAsia" w:ascii="仿宋_GB2312" w:hAnsi="Calibri" w:eastAsia="仿宋_GB2312" w:cs="仿宋_GB2312"/>
          <w:i w:val="0"/>
          <w:iCs w:val="0"/>
          <w:caps w:val="0"/>
          <w:color w:val="000000"/>
          <w:spacing w:val="0"/>
          <w:sz w:val="32"/>
          <w:szCs w:val="32"/>
          <w:shd w:val="clear" w:fill="FFFFFF"/>
        </w:rPr>
        <w:t>本报告依据《国务院办公厅政府信息与政务公开办公室关于印发〈中华人民共和国政府信息公开工作年度报告格式〉的通知》（国办公开办函〔2021〕30号）和《六安市金安区人民政府办公室关于开展2024年政府信息公开年报编制工作的通知》要求编制而成。</w:t>
      </w:r>
    </w:p>
    <w:p w14:paraId="301135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default" w:ascii="Calibri" w:hAnsi="Calibri" w:cs="Calibri"/>
          <w:i w:val="0"/>
          <w:iCs w:val="0"/>
          <w:caps w:val="0"/>
          <w:color w:val="000000"/>
          <w:spacing w:val="0"/>
          <w:sz w:val="21"/>
          <w:szCs w:val="21"/>
        </w:rPr>
      </w:pPr>
      <w:bookmarkStart w:id="0" w:name="_GoBack"/>
      <w:bookmarkEnd w:id="0"/>
      <w:r>
        <w:rPr>
          <w:rFonts w:ascii="黑体" w:hAnsi="宋体" w:eastAsia="黑体" w:cs="黑体"/>
          <w:i w:val="0"/>
          <w:iCs w:val="0"/>
          <w:caps w:val="0"/>
          <w:color w:val="000000"/>
          <w:spacing w:val="0"/>
          <w:sz w:val="32"/>
          <w:szCs w:val="32"/>
          <w:shd w:val="clear" w:fill="FFFFFF"/>
        </w:rPr>
        <w:t>一、总体情况</w:t>
      </w:r>
    </w:p>
    <w:p w14:paraId="560FEAFA">
      <w:pPr>
        <w:keepNext w:val="0"/>
        <w:keepLines w:val="0"/>
        <w:widowControl/>
        <w:suppressLineNumbers w:val="0"/>
        <w:jc w:val="left"/>
        <w:rPr>
          <w:rFonts w:hint="eastAsia" w:ascii="仿宋_GB2312" w:hAnsi="Calibri" w:eastAsia="仿宋_GB2312" w:cs="仿宋_GB2312"/>
          <w:i w:val="0"/>
          <w:iCs w:val="0"/>
          <w:caps w:val="0"/>
          <w:color w:val="000000"/>
          <w:spacing w:val="0"/>
          <w:sz w:val="32"/>
          <w:szCs w:val="32"/>
          <w:shd w:val="clear" w:fill="FFFFFF"/>
        </w:rPr>
      </w:pPr>
      <w:r>
        <w:rPr>
          <w:rFonts w:ascii="楷体_GB2312" w:hAnsi="Calibri" w:eastAsia="楷体_GB2312" w:cs="楷体_GB2312"/>
          <w:b/>
          <w:bCs/>
          <w:i w:val="0"/>
          <w:iCs w:val="0"/>
          <w:caps w:val="0"/>
          <w:color w:val="000000"/>
          <w:spacing w:val="0"/>
          <w:sz w:val="32"/>
          <w:szCs w:val="32"/>
          <w:shd w:val="clear" w:fill="FFFFFF"/>
        </w:rPr>
        <w:t>（一）主动公开情况。</w:t>
      </w:r>
      <w:r>
        <w:rPr>
          <w:rFonts w:hint="eastAsia" w:ascii="仿宋_GB2312" w:hAnsi="Calibri" w:eastAsia="仿宋_GB2312" w:cs="仿宋_GB2312"/>
          <w:i w:val="0"/>
          <w:iCs w:val="0"/>
          <w:caps w:val="0"/>
          <w:color w:val="333333"/>
          <w:spacing w:val="0"/>
          <w:sz w:val="32"/>
          <w:szCs w:val="32"/>
          <w:shd w:val="clear" w:fill="FFFFFF"/>
        </w:rPr>
        <w:t>积极落实政府信息公开工作要求，围绕工作动态、政策法规等涉及群众</w:t>
      </w:r>
      <w:r>
        <w:rPr>
          <w:rFonts w:hint="eastAsia" w:ascii="仿宋_GB2312" w:hAnsi="Calibri" w:eastAsia="仿宋_GB2312" w:cs="仿宋_GB2312"/>
          <w:i w:val="0"/>
          <w:iCs w:val="0"/>
          <w:caps w:val="0"/>
          <w:color w:val="333333"/>
          <w:spacing w:val="0"/>
          <w:sz w:val="32"/>
          <w:szCs w:val="32"/>
          <w:shd w:val="clear" w:fill="FFFFFF"/>
          <w:lang w:eastAsia="zh-CN"/>
        </w:rPr>
        <w:t>企业</w:t>
      </w:r>
      <w:r>
        <w:rPr>
          <w:rFonts w:hint="eastAsia" w:ascii="仿宋_GB2312" w:hAnsi="Calibri" w:eastAsia="仿宋_GB2312" w:cs="仿宋_GB2312"/>
          <w:i w:val="0"/>
          <w:iCs w:val="0"/>
          <w:caps w:val="0"/>
          <w:color w:val="333333"/>
          <w:spacing w:val="0"/>
          <w:sz w:val="32"/>
          <w:szCs w:val="32"/>
          <w:shd w:val="clear" w:fill="FFFFFF"/>
        </w:rPr>
        <w:t>切实利益等内容，做到应公开、尽公开，</w:t>
      </w:r>
      <w:r>
        <w:rPr>
          <w:rFonts w:hint="eastAsia" w:ascii="楷体_GB2312" w:hAnsi="Calibri" w:eastAsia="楷体_GB2312" w:cs="楷体_GB2312"/>
          <w:b w:val="0"/>
          <w:bCs w:val="0"/>
          <w:i w:val="0"/>
          <w:iCs w:val="0"/>
          <w:caps w:val="0"/>
          <w:color w:val="000000"/>
          <w:spacing w:val="0"/>
          <w:sz w:val="32"/>
          <w:szCs w:val="32"/>
          <w:shd w:val="clear" w:fill="FFFFFF"/>
        </w:rPr>
        <w:t>2</w:t>
      </w:r>
      <w:r>
        <w:rPr>
          <w:rFonts w:hint="eastAsia" w:ascii="仿宋_GB2312" w:hAnsi="Calibri" w:eastAsia="仿宋_GB2312" w:cs="仿宋_GB2312"/>
          <w:b w:val="0"/>
          <w:bCs w:val="0"/>
          <w:i w:val="0"/>
          <w:iCs w:val="0"/>
          <w:caps w:val="0"/>
          <w:color w:val="000000"/>
          <w:spacing w:val="0"/>
          <w:sz w:val="32"/>
          <w:szCs w:val="32"/>
          <w:shd w:val="clear" w:fill="FFFFFF"/>
        </w:rPr>
        <w:t>02</w:t>
      </w:r>
      <w:r>
        <w:rPr>
          <w:rFonts w:hint="eastAsia" w:ascii="仿宋_GB2312" w:hAnsi="Calibri" w:eastAsia="仿宋_GB2312" w:cs="仿宋_GB2312"/>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年，区</w:t>
      </w:r>
      <w:r>
        <w:rPr>
          <w:rFonts w:hint="eastAsia" w:ascii="仿宋_GB2312" w:hAnsi="Calibri" w:eastAsia="仿宋_GB2312" w:cs="仿宋_GB2312"/>
          <w:i w:val="0"/>
          <w:iCs w:val="0"/>
          <w:caps w:val="0"/>
          <w:color w:val="000000"/>
          <w:spacing w:val="0"/>
          <w:sz w:val="32"/>
          <w:szCs w:val="32"/>
          <w:shd w:val="clear" w:fill="FFFFFF"/>
          <w:lang w:eastAsia="zh-CN"/>
        </w:rPr>
        <w:t>科技</w:t>
      </w:r>
      <w:r>
        <w:rPr>
          <w:rFonts w:hint="eastAsia" w:ascii="仿宋_GB2312" w:hAnsi="Calibri" w:eastAsia="仿宋_GB2312" w:cs="仿宋_GB2312"/>
          <w:i w:val="0"/>
          <w:iCs w:val="0"/>
          <w:caps w:val="0"/>
          <w:color w:val="000000"/>
          <w:spacing w:val="0"/>
          <w:sz w:val="32"/>
          <w:szCs w:val="32"/>
          <w:shd w:val="clear" w:fill="FFFFFF"/>
        </w:rPr>
        <w:t>局依法及时公开各类政府信息和</w:t>
      </w:r>
      <w:r>
        <w:rPr>
          <w:rFonts w:hint="eastAsia" w:ascii="仿宋_GB2312" w:hAnsi="Calibri" w:eastAsia="仿宋_GB2312" w:cs="仿宋_GB2312"/>
          <w:i w:val="0"/>
          <w:iCs w:val="0"/>
          <w:caps w:val="0"/>
          <w:color w:val="000000"/>
          <w:spacing w:val="0"/>
          <w:sz w:val="32"/>
          <w:szCs w:val="32"/>
          <w:shd w:val="clear" w:fill="FFFFFF"/>
          <w:lang w:eastAsia="zh-CN"/>
        </w:rPr>
        <w:t>科技</w:t>
      </w:r>
      <w:r>
        <w:rPr>
          <w:rFonts w:hint="eastAsia" w:ascii="仿宋_GB2312" w:hAnsi="Calibri" w:eastAsia="仿宋_GB2312" w:cs="仿宋_GB2312"/>
          <w:i w:val="0"/>
          <w:iCs w:val="0"/>
          <w:caps w:val="0"/>
          <w:color w:val="000000"/>
          <w:spacing w:val="0"/>
          <w:sz w:val="32"/>
          <w:szCs w:val="32"/>
          <w:shd w:val="clear" w:fill="FFFFFF"/>
        </w:rPr>
        <w:t>工作动态共</w:t>
      </w:r>
      <w:r>
        <w:rPr>
          <w:rFonts w:hint="eastAsia" w:ascii="仿宋_GB2312" w:hAnsi="Calibri" w:eastAsia="仿宋_GB2312" w:cs="仿宋_GB2312"/>
          <w:i w:val="0"/>
          <w:iCs w:val="0"/>
          <w:caps w:val="0"/>
          <w:color w:val="000000"/>
          <w:spacing w:val="0"/>
          <w:sz w:val="32"/>
          <w:szCs w:val="32"/>
          <w:shd w:val="clear" w:fill="FFFFFF"/>
          <w:lang w:val="en-US" w:eastAsia="zh-CN"/>
        </w:rPr>
        <w:t>366</w:t>
      </w:r>
      <w:r>
        <w:rPr>
          <w:rFonts w:hint="eastAsia" w:ascii="仿宋_GB2312" w:hAnsi="Calibri" w:eastAsia="仿宋_GB2312" w:cs="仿宋_GB2312"/>
          <w:i w:val="0"/>
          <w:iCs w:val="0"/>
          <w:caps w:val="0"/>
          <w:color w:val="000000"/>
          <w:spacing w:val="0"/>
          <w:sz w:val="32"/>
          <w:szCs w:val="32"/>
          <w:shd w:val="clear" w:fill="FFFFFF"/>
        </w:rPr>
        <w:t>条。公开的内容涵盖了</w:t>
      </w:r>
      <w:r>
        <w:rPr>
          <w:rFonts w:hint="eastAsia" w:ascii="仿宋_GB2312" w:eastAsia="仿宋_GB2312" w:cs="仿宋_GB2312"/>
          <w:i w:val="0"/>
          <w:iCs w:val="0"/>
          <w:caps w:val="0"/>
          <w:color w:val="000000"/>
          <w:spacing w:val="0"/>
          <w:sz w:val="32"/>
          <w:szCs w:val="32"/>
          <w:shd w:val="clear" w:fill="FFFFFF"/>
          <w:lang w:eastAsia="zh-CN"/>
        </w:rPr>
        <w:t>科技创新</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eastAsia="zh-CN"/>
        </w:rPr>
        <w:t>地震工作</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eastAsia="zh-CN"/>
        </w:rPr>
        <w:t>财政资金以及助企服务</w:t>
      </w:r>
      <w:r>
        <w:rPr>
          <w:rFonts w:hint="eastAsia" w:ascii="仿宋_GB2312" w:hAnsi="Calibri" w:eastAsia="仿宋_GB2312" w:cs="仿宋_GB2312"/>
          <w:i w:val="0"/>
          <w:iCs w:val="0"/>
          <w:caps w:val="0"/>
          <w:color w:val="000000"/>
          <w:spacing w:val="0"/>
          <w:sz w:val="32"/>
          <w:szCs w:val="32"/>
          <w:shd w:val="clear" w:fill="FFFFFF"/>
        </w:rPr>
        <w:t>等各个方面。</w:t>
      </w:r>
    </w:p>
    <w:p w14:paraId="6FE7F1FF">
      <w:pPr>
        <w:keepNext w:val="0"/>
        <w:keepLines w:val="0"/>
        <w:widowControl/>
        <w:suppressLineNumbers w:val="0"/>
        <w:ind w:firstLine="643" w:firstLineChars="200"/>
        <w:jc w:val="left"/>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bCs/>
          <w:color w:val="auto"/>
          <w:sz w:val="32"/>
          <w:szCs w:val="32"/>
          <w:lang w:eastAsia="zh-CN"/>
        </w:rPr>
        <w:t>科技创新方面，</w:t>
      </w:r>
      <w:r>
        <w:rPr>
          <w:rFonts w:hint="eastAsia" w:ascii="Times New Roman" w:hAnsi="Times New Roman" w:eastAsia="方正仿宋_GBK" w:cs="方正仿宋_GBK"/>
          <w:b w:val="0"/>
          <w:bCs w:val="0"/>
          <w:color w:val="auto"/>
          <w:sz w:val="32"/>
          <w:szCs w:val="32"/>
          <w:lang w:eastAsia="zh-CN"/>
        </w:rPr>
        <w:t>主动公开孵化器建设进度及在孵企业毕业情况、区级产学研项目奖补以及科技项目验收结果、征集省重大科技攻关需求、科技服务机构备案等信息。</w:t>
      </w:r>
    </w:p>
    <w:p w14:paraId="19B55B97">
      <w:pPr>
        <w:keepNext w:val="0"/>
        <w:keepLines w:val="0"/>
        <w:widowControl/>
        <w:suppressLineNumbers w:val="0"/>
        <w:ind w:firstLine="643" w:firstLineChars="200"/>
        <w:jc w:val="left"/>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bCs/>
          <w:color w:val="auto"/>
          <w:sz w:val="32"/>
          <w:szCs w:val="32"/>
          <w:lang w:eastAsia="zh-CN"/>
        </w:rPr>
        <w:t>地震工作方面</w:t>
      </w:r>
      <w:r>
        <w:rPr>
          <w:rFonts w:hint="eastAsia" w:ascii="Times New Roman" w:hAnsi="Times New Roman" w:eastAsia="方正仿宋_GBK" w:cs="方正仿宋_GBK"/>
          <w:b w:val="0"/>
          <w:bCs w:val="0"/>
          <w:color w:val="auto"/>
          <w:sz w:val="32"/>
          <w:szCs w:val="32"/>
          <w:lang w:eastAsia="zh-CN"/>
        </w:rPr>
        <w:t>，公开发布应急预案、灾害事故应对情况、防震减灾科普宣传活动、地震宏微观监测管理工作、房屋设施抗震信息采集等信息进一步提高了全区广大人民群众的安全意识和有效应对地震等灾害的能力。</w:t>
      </w:r>
    </w:p>
    <w:p w14:paraId="16C6BD4B">
      <w:pPr>
        <w:bidi w:val="0"/>
        <w:jc w:val="right"/>
        <w:rPr>
          <w:rFonts w:hint="eastAsia" w:ascii="Calibri" w:hAnsi="Calibri" w:eastAsia="宋体" w:cs="Times New Roman"/>
          <w:kern w:val="2"/>
          <w:sz w:val="21"/>
          <w:szCs w:val="24"/>
          <w:lang w:val="en-US" w:eastAsia="zh-CN" w:bidi="ar-SA"/>
        </w:rPr>
      </w:pPr>
    </w:p>
    <w:p w14:paraId="57B8CD53">
      <w:pPr>
        <w:keepNext w:val="0"/>
        <w:keepLines w:val="0"/>
        <w:widowControl/>
        <w:suppressLineNumbers w:val="0"/>
        <w:ind w:firstLine="643" w:firstLineChars="200"/>
        <w:jc w:val="left"/>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lang w:eastAsia="zh-CN"/>
        </w:rPr>
        <w:t>财政资金方面，</w:t>
      </w:r>
      <w:r>
        <w:rPr>
          <w:rFonts w:hint="eastAsia" w:ascii="Times New Roman" w:hAnsi="Times New Roman" w:eastAsia="方正仿宋_GBK" w:cs="方正仿宋_GBK"/>
          <w:b w:val="0"/>
          <w:bCs w:val="0"/>
          <w:color w:val="auto"/>
          <w:sz w:val="32"/>
          <w:szCs w:val="32"/>
          <w:lang w:eastAsia="zh-CN"/>
        </w:rPr>
        <w:t>主动公开财政预决算、“三公”经费、持续推进金安区创新驱动专项资金、项目文本、项目绩效等重要财政信息公开。</w:t>
      </w:r>
    </w:p>
    <w:p w14:paraId="4A066372">
      <w:pPr>
        <w:keepNext w:val="0"/>
        <w:keepLines w:val="0"/>
        <w:widowControl/>
        <w:suppressLineNumbers w:val="0"/>
        <w:ind w:firstLine="643" w:firstLineChars="200"/>
        <w:jc w:val="left"/>
        <w:rPr>
          <w:rFonts w:hint="eastAsia" w:ascii="仿宋_GB2312" w:hAnsi="Calibri" w:eastAsia="仿宋_GB2312" w:cs="仿宋_GB2312"/>
          <w:i w:val="0"/>
          <w:iCs w:val="0"/>
          <w:caps w:val="0"/>
          <w:color w:val="000000"/>
          <w:spacing w:val="0"/>
          <w:sz w:val="32"/>
          <w:szCs w:val="32"/>
          <w:shd w:val="clear" w:fill="FFFFFF"/>
          <w:lang w:eastAsia="zh-CN"/>
        </w:rPr>
      </w:pPr>
      <w:r>
        <w:rPr>
          <w:rFonts w:hint="eastAsia" w:ascii="Times New Roman" w:hAnsi="Times New Roman" w:eastAsia="方正仿宋_GBK" w:cs="方正仿宋_GBK"/>
          <w:b/>
          <w:bCs/>
          <w:color w:val="auto"/>
          <w:sz w:val="32"/>
          <w:szCs w:val="32"/>
          <w:lang w:eastAsia="zh-CN"/>
        </w:rPr>
        <w:t>助企服务方面，</w:t>
      </w:r>
      <w:r>
        <w:rPr>
          <w:rFonts w:hint="eastAsia" w:ascii="仿宋_GB2312" w:hAnsi="宋体" w:eastAsia="仿宋_GB2312" w:cs="仿宋_GB2312"/>
          <w:b w:val="0"/>
          <w:i w:val="0"/>
          <w:caps w:val="0"/>
          <w:color w:val="000000"/>
          <w:spacing w:val="0"/>
          <w:sz w:val="32"/>
          <w:szCs w:val="32"/>
          <w:shd w:val="clear" w:color="auto" w:fill="FFFFFF"/>
        </w:rPr>
        <w:t>聚焦助企纾困信息公开,发布涉企政策</w:t>
      </w:r>
      <w:r>
        <w:rPr>
          <w:rFonts w:hint="eastAsia" w:ascii="仿宋_GB2312" w:hAnsi="宋体" w:eastAsia="仿宋_GB2312" w:cs="仿宋_GB2312"/>
          <w:b w:val="0"/>
          <w:i w:val="0"/>
          <w:caps w:val="0"/>
          <w:color w:val="000000"/>
          <w:spacing w:val="0"/>
          <w:sz w:val="32"/>
          <w:szCs w:val="32"/>
          <w:shd w:val="clear" w:color="auto" w:fill="FFFFFF"/>
          <w:lang w:eastAsia="zh-CN"/>
        </w:rPr>
        <w:t>，围绕企业</w:t>
      </w:r>
      <w:r>
        <w:rPr>
          <w:rFonts w:hint="eastAsia" w:ascii="仿宋_GB2312" w:hAnsi="宋体" w:eastAsia="仿宋_GB2312" w:cs="仿宋_GB2312"/>
          <w:b w:val="0"/>
          <w:i w:val="0"/>
          <w:caps w:val="0"/>
          <w:color w:val="auto"/>
          <w:spacing w:val="0"/>
          <w:sz w:val="32"/>
          <w:szCs w:val="32"/>
          <w:shd w:val="clear" w:color="auto" w:fill="FFFFFF"/>
          <w:lang w:eastAsia="zh-CN"/>
        </w:rPr>
        <w:t>技术</w:t>
      </w:r>
      <w:r>
        <w:rPr>
          <w:rFonts w:hint="eastAsia" w:ascii="仿宋_GB2312" w:hAnsi="宋体" w:eastAsia="仿宋_GB2312" w:cs="仿宋_GB2312"/>
          <w:b w:val="0"/>
          <w:i w:val="0"/>
          <w:caps w:val="0"/>
          <w:color w:val="000000"/>
          <w:spacing w:val="0"/>
          <w:sz w:val="32"/>
          <w:szCs w:val="32"/>
          <w:shd w:val="clear" w:color="auto" w:fill="FFFFFF"/>
          <w:lang w:eastAsia="zh-CN"/>
        </w:rPr>
        <w:t>需求走访对接规上科技服务企业及时更新信息等。</w:t>
      </w:r>
    </w:p>
    <w:p w14:paraId="74312C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eastAsia" w:ascii="楷体_GB2312" w:hAnsi="Calibri" w:eastAsia="楷体_GB2312" w:cs="楷体_GB2312"/>
          <w:b/>
          <w:bCs/>
          <w:i w:val="0"/>
          <w:iCs w:val="0"/>
          <w:caps w:val="0"/>
          <w:color w:val="000000"/>
          <w:spacing w:val="0"/>
          <w:kern w:val="0"/>
          <w:sz w:val="32"/>
          <w:szCs w:val="32"/>
          <w:shd w:val="clear" w:fill="FFFFFF"/>
          <w:lang w:val="en-US" w:eastAsia="zh-CN" w:bidi="ar"/>
        </w:rPr>
        <w:t>（二）依申请公开。</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本年度共收到线下依申请公开</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1件</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w:t>
      </w:r>
    </w:p>
    <w:p w14:paraId="475C73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严格遵循《金安区政务信息依申请公开制度》，进一步规范依申请公开流程。线上线下收件当天受理，领导同步批办，在规定时限内寄出答复书，办件进度及时录入依申请公开平台。</w:t>
      </w:r>
    </w:p>
    <w:p w14:paraId="161AF4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eastAsia" w:ascii="楷体_GB2312" w:hAnsi="Calibri" w:eastAsia="楷体_GB2312" w:cs="楷体_GB2312"/>
          <w:b/>
          <w:bCs/>
          <w:i w:val="0"/>
          <w:iCs w:val="0"/>
          <w:caps w:val="0"/>
          <w:color w:val="000000"/>
          <w:spacing w:val="0"/>
          <w:sz w:val="32"/>
          <w:szCs w:val="32"/>
          <w:shd w:val="clear" w:fill="FFFFFF"/>
        </w:rPr>
        <w:t>（三）政府信息管理。</w:t>
      </w:r>
      <w:r>
        <w:rPr>
          <w:rFonts w:hint="eastAsia" w:ascii="仿宋_GB2312" w:hAnsi="Calibri" w:eastAsia="仿宋_GB2312" w:cs="仿宋_GB2312"/>
          <w:i w:val="0"/>
          <w:iCs w:val="0"/>
          <w:caps w:val="0"/>
          <w:color w:val="000000"/>
          <w:spacing w:val="0"/>
          <w:sz w:val="32"/>
          <w:szCs w:val="32"/>
          <w:shd w:val="clear" w:fill="FFFFFF"/>
        </w:rPr>
        <w:t>严格遵循“先审查、后公开”的原则，建立信息发布台账，对所有公开信息开展“三级审核”和保密审查</w:t>
      </w:r>
      <w:r>
        <w:rPr>
          <w:rFonts w:hint="eastAsia" w:ascii="仿宋_GB2312" w:hAnsi="Calibri" w:eastAsia="仿宋_GB2312" w:cs="仿宋_GB2312"/>
          <w:i w:val="0"/>
          <w:iCs w:val="0"/>
          <w:caps w:val="0"/>
          <w:color w:val="0000FF"/>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rPr>
        <w:t>对区电子政务办反馈的错敏词和死链错链等问题及时纠正清理，确保发布信息准确、规范。进一步加强和规范行政规范性文件备案审查工作，严格根据省规范性文件格式要求，对规范性文件网页版、下载版格式进行修改，确保已公开文件符合要求</w:t>
      </w:r>
      <w:r>
        <w:rPr>
          <w:rFonts w:hint="eastAsia" w:ascii="仿宋_GB2312" w:eastAsia="仿宋_GB2312" w:cs="仿宋_GB2312"/>
          <w:i w:val="0"/>
          <w:iCs w:val="0"/>
          <w:caps w:val="0"/>
          <w:color w:val="000000"/>
          <w:spacing w:val="0"/>
          <w:sz w:val="32"/>
          <w:szCs w:val="32"/>
          <w:shd w:val="clear" w:fill="FFFFFF"/>
          <w:lang w:eastAsia="zh-CN"/>
        </w:rPr>
        <w:t>。</w:t>
      </w:r>
    </w:p>
    <w:p w14:paraId="7C31AD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both"/>
        <w:rPr>
          <w:rFonts w:hint="eastAsia" w:ascii="仿宋_GB2312" w:hAnsi="Calibri" w:eastAsia="仿宋_GB2312" w:cs="仿宋_GB2312"/>
          <w:i w:val="0"/>
          <w:iCs w:val="0"/>
          <w:caps w:val="0"/>
          <w:color w:val="333333"/>
          <w:spacing w:val="0"/>
          <w:sz w:val="32"/>
          <w:szCs w:val="32"/>
          <w:shd w:val="clear" w:fill="FFFFFF"/>
        </w:rPr>
      </w:pPr>
      <w:r>
        <w:rPr>
          <w:rFonts w:hint="eastAsia" w:ascii="楷体_GB2312" w:hAnsi="Calibri" w:eastAsia="楷体_GB2312" w:cs="楷体_GB2312"/>
          <w:b/>
          <w:bCs/>
          <w:i w:val="0"/>
          <w:iCs w:val="0"/>
          <w:caps w:val="0"/>
          <w:color w:val="333333"/>
          <w:spacing w:val="0"/>
          <w:sz w:val="32"/>
          <w:szCs w:val="32"/>
          <w:shd w:val="clear" w:fill="FFFFFF"/>
        </w:rPr>
        <w:t>（四）政府信息公开平台建设方面。</w:t>
      </w:r>
      <w:r>
        <w:rPr>
          <w:rFonts w:hint="eastAsia" w:ascii="仿宋_GB2312" w:hAnsi="Calibri" w:eastAsia="仿宋_GB2312" w:cs="仿宋_GB2312"/>
          <w:i w:val="0"/>
          <w:iCs w:val="0"/>
          <w:caps w:val="0"/>
          <w:color w:val="333333"/>
          <w:spacing w:val="0"/>
          <w:sz w:val="32"/>
          <w:szCs w:val="32"/>
          <w:shd w:val="clear" w:fill="FFFFFF"/>
        </w:rPr>
        <w:t>进一步完善公开指南和公开目录，确保我局政务公开工作制度化、规范化推进；做好政府信息公开平台的栏目优化和调整工作，持续做好内容更新维护，确保各栏目板块信息公开及时准确全面。</w:t>
      </w:r>
    </w:p>
    <w:p w14:paraId="33E159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both"/>
        <w:rPr>
          <w:rFonts w:hint="eastAsia" w:ascii="仿宋_GB2312" w:hAnsi="Calibri" w:eastAsia="仿宋_GB2312" w:cs="仿宋_GB2312"/>
          <w:i w:val="0"/>
          <w:iCs w:val="0"/>
          <w:caps w:val="0"/>
          <w:color w:val="333333"/>
          <w:spacing w:val="0"/>
          <w:sz w:val="32"/>
          <w:szCs w:val="32"/>
          <w:shd w:val="clear" w:fill="FFFFFF"/>
        </w:rPr>
      </w:pPr>
      <w:r>
        <w:rPr>
          <w:rFonts w:hint="eastAsia" w:ascii="楷体_GB2312" w:hAnsi="Calibri" w:eastAsia="楷体_GB2312" w:cs="楷体_GB2312"/>
          <w:b/>
          <w:bCs/>
          <w:i w:val="0"/>
          <w:iCs w:val="0"/>
          <w:caps w:val="0"/>
          <w:color w:val="000000"/>
          <w:spacing w:val="0"/>
          <w:sz w:val="32"/>
          <w:szCs w:val="32"/>
          <w:shd w:val="clear" w:fill="FFFFFF"/>
        </w:rPr>
        <w:t>（五）监督保障。</w:t>
      </w:r>
      <w:r>
        <w:rPr>
          <w:rFonts w:hint="eastAsia" w:ascii="楷体_GB2312" w:hAnsi="Calibri" w:eastAsia="楷体_GB2312" w:cs="楷体_GB2312"/>
          <w:b/>
          <w:bCs/>
          <w:i w:val="0"/>
          <w:iCs w:val="0"/>
          <w:caps w:val="0"/>
          <w:color w:val="000000"/>
          <w:spacing w:val="0"/>
          <w:sz w:val="32"/>
          <w:szCs w:val="32"/>
          <w:shd w:val="clear" w:fill="FFFFFF"/>
          <w:lang w:eastAsia="zh-CN"/>
        </w:rPr>
        <w:t>一是</w:t>
      </w:r>
      <w:r>
        <w:rPr>
          <w:rFonts w:hint="eastAsia" w:ascii="仿宋_GB2312" w:hAnsi="Calibri" w:eastAsia="仿宋_GB2312" w:cs="仿宋_GB2312"/>
          <w:b/>
          <w:bCs/>
          <w:i w:val="0"/>
          <w:iCs w:val="0"/>
          <w:caps w:val="0"/>
          <w:color w:val="000000"/>
          <w:spacing w:val="0"/>
          <w:sz w:val="32"/>
          <w:szCs w:val="32"/>
          <w:shd w:val="clear" w:fill="FFFFFF"/>
        </w:rPr>
        <w:t>强化组织领导。</w:t>
      </w:r>
      <w:r>
        <w:rPr>
          <w:rFonts w:hint="eastAsia" w:ascii="仿宋_GB2312" w:hAnsi="Calibri" w:eastAsia="仿宋_GB2312" w:cs="仿宋_GB2312"/>
          <w:i w:val="0"/>
          <w:iCs w:val="0"/>
          <w:caps w:val="0"/>
          <w:color w:val="000000"/>
          <w:spacing w:val="0"/>
          <w:sz w:val="32"/>
          <w:szCs w:val="32"/>
          <w:shd w:val="clear" w:fill="FFFFFF"/>
        </w:rPr>
        <w:t>及时调整局政务公开工作领导小组及办公室，做到机构健全、人员配齐、责任明确。</w:t>
      </w:r>
      <w:r>
        <w:rPr>
          <w:rFonts w:hint="eastAsia" w:ascii="仿宋_GB2312" w:hAnsi="Calibri" w:eastAsia="仿宋_GB2312" w:cs="仿宋_GB2312"/>
          <w:b/>
          <w:bCs/>
          <w:i w:val="0"/>
          <w:iCs w:val="0"/>
          <w:caps w:val="0"/>
          <w:color w:val="000000"/>
          <w:spacing w:val="0"/>
          <w:sz w:val="32"/>
          <w:szCs w:val="32"/>
          <w:shd w:val="clear" w:fill="FFFFFF"/>
          <w:lang w:eastAsia="zh-CN"/>
        </w:rPr>
        <w:t>二是</w:t>
      </w:r>
      <w:r>
        <w:rPr>
          <w:rFonts w:hint="eastAsia" w:ascii="仿宋_GB2312" w:hAnsi="Calibri" w:eastAsia="仿宋_GB2312" w:cs="仿宋_GB2312"/>
          <w:b/>
          <w:bCs/>
          <w:i w:val="0"/>
          <w:iCs w:val="0"/>
          <w:caps w:val="0"/>
          <w:color w:val="000000"/>
          <w:spacing w:val="0"/>
          <w:sz w:val="32"/>
          <w:szCs w:val="32"/>
          <w:shd w:val="clear" w:fill="FFFFFF"/>
        </w:rPr>
        <w:t>科学部署工作。</w:t>
      </w:r>
      <w:r>
        <w:rPr>
          <w:rFonts w:hint="eastAsia" w:ascii="仿宋_GB2312" w:hAnsi="Calibri" w:eastAsia="仿宋_GB2312" w:cs="仿宋_GB2312"/>
          <w:i w:val="0"/>
          <w:iCs w:val="0"/>
          <w:caps w:val="0"/>
          <w:color w:val="000000"/>
          <w:spacing w:val="0"/>
          <w:sz w:val="32"/>
          <w:szCs w:val="32"/>
          <w:shd w:val="clear" w:fill="FFFFFF"/>
        </w:rPr>
        <w:t>结合</w:t>
      </w:r>
      <w:r>
        <w:rPr>
          <w:rFonts w:hint="eastAsia" w:ascii="仿宋_GB2312" w:hAnsi="Calibri" w:eastAsia="仿宋_GB2312" w:cs="仿宋_GB2312"/>
          <w:i w:val="0"/>
          <w:iCs w:val="0"/>
          <w:caps w:val="0"/>
          <w:color w:val="000000"/>
          <w:spacing w:val="0"/>
          <w:sz w:val="32"/>
          <w:szCs w:val="32"/>
          <w:shd w:val="clear" w:fill="FFFFFF"/>
          <w:lang w:eastAsia="zh-CN"/>
        </w:rPr>
        <w:t>科技</w:t>
      </w:r>
      <w:r>
        <w:rPr>
          <w:rFonts w:hint="eastAsia" w:ascii="仿宋_GB2312" w:hAnsi="Calibri" w:eastAsia="仿宋_GB2312" w:cs="仿宋_GB2312"/>
          <w:i w:val="0"/>
          <w:iCs w:val="0"/>
          <w:caps w:val="0"/>
          <w:color w:val="000000"/>
          <w:spacing w:val="0"/>
          <w:sz w:val="32"/>
          <w:szCs w:val="32"/>
          <w:shd w:val="clear" w:fill="FFFFFF"/>
        </w:rPr>
        <w:t>工作实际，制定202</w:t>
      </w:r>
      <w:r>
        <w:rPr>
          <w:rFonts w:hint="eastAsia" w:ascii="仿宋_GB2312" w:hAnsi="Calibri" w:eastAsia="仿宋_GB2312" w:cs="仿宋_GB2312"/>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年政务公开工作要点，明确全年工作重点，抓好落实。扎实开展政务公开重点工作提升行动，进一步提高公开信息质量和推进重点工作。</w:t>
      </w:r>
      <w:r>
        <w:rPr>
          <w:rFonts w:hint="eastAsia" w:ascii="仿宋_GB2312" w:hAnsi="Calibri" w:eastAsia="仿宋_GB2312" w:cs="仿宋_GB2312"/>
          <w:b/>
          <w:bCs/>
          <w:i w:val="0"/>
          <w:iCs w:val="0"/>
          <w:caps w:val="0"/>
          <w:color w:val="000000"/>
          <w:spacing w:val="0"/>
          <w:sz w:val="32"/>
          <w:szCs w:val="32"/>
          <w:shd w:val="clear" w:fill="FFFFFF"/>
          <w:lang w:eastAsia="zh-CN"/>
        </w:rPr>
        <w:t>三是加强培训</w:t>
      </w:r>
      <w:r>
        <w:rPr>
          <w:rFonts w:hint="eastAsia" w:ascii="仿宋_GB2312" w:hAnsi="Calibri" w:eastAsia="仿宋_GB2312" w:cs="仿宋_GB2312"/>
          <w:b/>
          <w:bCs/>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rPr>
        <w:t>扎实推进常态化监督检查，定期对照考评指标开展自查，及时查漏补缺。主动接受上级信息公开检查考核和工作指导，对发现的问题立行立改，切实提高工作水平。</w:t>
      </w:r>
    </w:p>
    <w:p w14:paraId="55A38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200" w:right="0" w:firstLine="640"/>
        <w:jc w:val="both"/>
        <w:rPr>
          <w:rFonts w:hint="default" w:ascii="Calibri" w:hAnsi="Calibri" w:cs="Calibri" w:eastAsiaTheme="minorEastAsia"/>
          <w:i w:val="0"/>
          <w:iCs w:val="0"/>
          <w:caps w:val="0"/>
          <w:color w:val="333333"/>
          <w:spacing w:val="0"/>
          <w:kern w:val="0"/>
          <w:sz w:val="21"/>
          <w:szCs w:val="21"/>
          <w:lang w:val="en-US" w:eastAsia="zh-CN" w:bidi="ar"/>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二、</w:t>
      </w:r>
      <w:r>
        <w:rPr>
          <w:rFonts w:hint="eastAsia" w:ascii="黑体" w:hAnsi="宋体" w:eastAsia="黑体" w:cs="黑体"/>
          <w:i w:val="0"/>
          <w:iCs w:val="0"/>
          <w:caps w:val="0"/>
          <w:color w:val="333333"/>
          <w:spacing w:val="0"/>
          <w:kern w:val="0"/>
          <w:sz w:val="32"/>
          <w:szCs w:val="32"/>
          <w:shd w:val="clear" w:fill="FFFFFF"/>
          <w:lang w:val="en-US" w:eastAsia="zh-CN" w:bidi="ar"/>
        </w:rPr>
        <w:t>主动公开政府信息情况</w:t>
      </w:r>
    </w:p>
    <w:tbl>
      <w:tblPr>
        <w:tblStyle w:val="7"/>
        <w:tblW w:w="8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63"/>
        <w:gridCol w:w="1987"/>
        <w:gridCol w:w="1554"/>
        <w:gridCol w:w="1976"/>
      </w:tblGrid>
      <w:tr w14:paraId="20CE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9" w:hRule="atLeast"/>
          <w:jc w:val="center"/>
        </w:trPr>
        <w:tc>
          <w:tcPr>
            <w:tcW w:w="8380" w:type="dxa"/>
            <w:gridSpan w:val="4"/>
            <w:tcBorders>
              <w:top w:val="single" w:color="auto" w:sz="4" w:space="0"/>
              <w:left w:val="single" w:color="auto" w:sz="4" w:space="0"/>
              <w:bottom w:val="single" w:color="auto" w:sz="4" w:space="0"/>
              <w:right w:val="single" w:color="auto" w:sz="4" w:space="0"/>
            </w:tcBorders>
            <w:shd w:val="clear" w:color="auto" w:fill="C6D9F1"/>
            <w:tcMar>
              <w:left w:w="108" w:type="dxa"/>
              <w:right w:w="108" w:type="dxa"/>
            </w:tcMar>
            <w:vAlign w:val="center"/>
          </w:tcPr>
          <w:p w14:paraId="5B536A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第二十条第（一）项</w:t>
            </w:r>
          </w:p>
        </w:tc>
      </w:tr>
      <w:tr w14:paraId="6D49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8"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581F79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信息内容</w:t>
            </w:r>
          </w:p>
        </w:tc>
        <w:tc>
          <w:tcPr>
            <w:tcW w:w="1987" w:type="dxa"/>
            <w:tcBorders>
              <w:top w:val="nil"/>
              <w:left w:val="nil"/>
              <w:bottom w:val="single" w:color="auto" w:sz="4" w:space="0"/>
              <w:right w:val="single" w:color="auto" w:sz="4" w:space="0"/>
            </w:tcBorders>
            <w:shd w:val="clear" w:color="auto" w:fill="auto"/>
            <w:tcMar>
              <w:left w:w="108" w:type="dxa"/>
              <w:right w:w="108" w:type="dxa"/>
            </w:tcMar>
            <w:vAlign w:val="center"/>
          </w:tcPr>
          <w:p w14:paraId="32A37A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color w:val="000000"/>
                <w:kern w:val="0"/>
                <w:sz w:val="20"/>
                <w:szCs w:val="20"/>
                <w:shd w:val="clear" w:fill="FFFFFF"/>
                <w:lang w:val="en-US" w:eastAsia="zh-CN" w:bidi="ar"/>
              </w:rPr>
              <w:t>本年制发件数</w:t>
            </w:r>
          </w:p>
        </w:tc>
        <w:tc>
          <w:tcPr>
            <w:tcW w:w="1554" w:type="dxa"/>
            <w:tcBorders>
              <w:top w:val="nil"/>
              <w:left w:val="nil"/>
              <w:bottom w:val="single" w:color="auto" w:sz="4" w:space="0"/>
              <w:right w:val="single" w:color="auto" w:sz="4" w:space="0"/>
            </w:tcBorders>
            <w:shd w:val="clear" w:color="auto" w:fill="auto"/>
            <w:tcMar>
              <w:left w:w="108" w:type="dxa"/>
              <w:right w:w="108" w:type="dxa"/>
            </w:tcMar>
            <w:vAlign w:val="center"/>
          </w:tcPr>
          <w:p w14:paraId="0730C6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color w:val="000000"/>
                <w:kern w:val="0"/>
                <w:sz w:val="20"/>
                <w:szCs w:val="20"/>
                <w:shd w:val="clear" w:fill="FFFFFF"/>
                <w:lang w:val="en-US" w:eastAsia="zh-CN" w:bidi="ar"/>
              </w:rPr>
              <w:t>本年废止件数</w:t>
            </w:r>
          </w:p>
        </w:tc>
        <w:tc>
          <w:tcPr>
            <w:tcW w:w="1976" w:type="dxa"/>
            <w:tcBorders>
              <w:top w:val="nil"/>
              <w:left w:val="nil"/>
              <w:bottom w:val="single" w:color="auto" w:sz="4" w:space="0"/>
              <w:right w:val="single" w:color="auto" w:sz="4" w:space="0"/>
            </w:tcBorders>
            <w:shd w:val="clear" w:color="auto" w:fill="auto"/>
            <w:tcMar>
              <w:left w:w="108" w:type="dxa"/>
              <w:right w:w="108" w:type="dxa"/>
            </w:tcMar>
            <w:vAlign w:val="center"/>
          </w:tcPr>
          <w:p w14:paraId="376A17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color w:val="000000"/>
                <w:kern w:val="0"/>
                <w:sz w:val="20"/>
                <w:szCs w:val="20"/>
                <w:shd w:val="clear" w:fill="FFFFFF"/>
                <w:lang w:val="en-US" w:eastAsia="zh-CN" w:bidi="ar"/>
              </w:rPr>
              <w:t>现行有效件数</w:t>
            </w:r>
          </w:p>
        </w:tc>
      </w:tr>
      <w:tr w14:paraId="63FD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857D3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规章</w:t>
            </w:r>
          </w:p>
        </w:tc>
        <w:tc>
          <w:tcPr>
            <w:tcW w:w="1987" w:type="dxa"/>
            <w:tcBorders>
              <w:top w:val="nil"/>
              <w:left w:val="nil"/>
              <w:bottom w:val="single" w:color="auto" w:sz="4" w:space="0"/>
              <w:right w:val="single" w:color="auto" w:sz="4" w:space="0"/>
            </w:tcBorders>
            <w:shd w:val="clear" w:color="auto" w:fill="auto"/>
            <w:tcMar>
              <w:left w:w="108" w:type="dxa"/>
              <w:right w:w="108" w:type="dxa"/>
            </w:tcMar>
            <w:vAlign w:val="center"/>
          </w:tcPr>
          <w:p w14:paraId="04B523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c>
          <w:tcPr>
            <w:tcW w:w="1554" w:type="dxa"/>
            <w:tcBorders>
              <w:top w:val="nil"/>
              <w:left w:val="nil"/>
              <w:bottom w:val="single" w:color="auto" w:sz="4" w:space="0"/>
              <w:right w:val="single" w:color="auto" w:sz="4" w:space="0"/>
            </w:tcBorders>
            <w:shd w:val="clear" w:color="auto" w:fill="auto"/>
            <w:tcMar>
              <w:left w:w="108" w:type="dxa"/>
              <w:right w:w="108" w:type="dxa"/>
            </w:tcMar>
            <w:vAlign w:val="center"/>
          </w:tcPr>
          <w:p w14:paraId="09F469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c>
          <w:tcPr>
            <w:tcW w:w="1976" w:type="dxa"/>
            <w:tcBorders>
              <w:top w:val="nil"/>
              <w:left w:val="nil"/>
              <w:bottom w:val="single" w:color="auto" w:sz="4" w:space="0"/>
              <w:right w:val="single" w:color="auto" w:sz="4" w:space="0"/>
            </w:tcBorders>
            <w:shd w:val="clear" w:color="auto" w:fill="auto"/>
            <w:tcMar>
              <w:left w:w="108" w:type="dxa"/>
              <w:right w:w="108" w:type="dxa"/>
            </w:tcMar>
            <w:vAlign w:val="center"/>
          </w:tcPr>
          <w:p w14:paraId="431934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r>
      <w:tr w14:paraId="42AF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D9C0A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规范性文件</w:t>
            </w:r>
          </w:p>
        </w:tc>
        <w:tc>
          <w:tcPr>
            <w:tcW w:w="1987" w:type="dxa"/>
            <w:tcBorders>
              <w:top w:val="nil"/>
              <w:left w:val="nil"/>
              <w:bottom w:val="single" w:color="auto" w:sz="4" w:space="0"/>
              <w:right w:val="single" w:color="auto" w:sz="4" w:space="0"/>
            </w:tcBorders>
            <w:shd w:val="clear" w:color="auto" w:fill="auto"/>
            <w:tcMar>
              <w:left w:w="108" w:type="dxa"/>
              <w:right w:w="108" w:type="dxa"/>
            </w:tcMar>
            <w:vAlign w:val="center"/>
          </w:tcPr>
          <w:p w14:paraId="6E1A2D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c>
          <w:tcPr>
            <w:tcW w:w="1554" w:type="dxa"/>
            <w:tcBorders>
              <w:top w:val="nil"/>
              <w:left w:val="nil"/>
              <w:bottom w:val="single" w:color="auto" w:sz="4" w:space="0"/>
              <w:right w:val="single" w:color="auto" w:sz="4" w:space="0"/>
            </w:tcBorders>
            <w:shd w:val="clear" w:color="auto" w:fill="auto"/>
            <w:tcMar>
              <w:left w:w="108" w:type="dxa"/>
              <w:right w:w="108" w:type="dxa"/>
            </w:tcMar>
            <w:vAlign w:val="center"/>
          </w:tcPr>
          <w:p w14:paraId="60A734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cs="Calibri" w:eastAsiaTheme="minorEastAsia"/>
                <w:kern w:val="0"/>
                <w:sz w:val="21"/>
                <w:szCs w:val="21"/>
                <w:lang w:val="en-US" w:eastAsia="zh-CN" w:bidi="ar"/>
              </w:rPr>
              <w:t>0</w:t>
            </w:r>
          </w:p>
        </w:tc>
        <w:tc>
          <w:tcPr>
            <w:tcW w:w="1976" w:type="dxa"/>
            <w:tcBorders>
              <w:top w:val="nil"/>
              <w:left w:val="nil"/>
              <w:bottom w:val="single" w:color="auto" w:sz="4" w:space="0"/>
              <w:right w:val="single" w:color="auto" w:sz="4" w:space="0"/>
            </w:tcBorders>
            <w:shd w:val="clear" w:color="auto" w:fill="auto"/>
            <w:tcMar>
              <w:left w:w="108" w:type="dxa"/>
              <w:right w:w="108" w:type="dxa"/>
            </w:tcMar>
            <w:vAlign w:val="center"/>
          </w:tcPr>
          <w:p w14:paraId="73FA01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cs="Calibri" w:eastAsiaTheme="minorEastAsia"/>
                <w:kern w:val="0"/>
                <w:sz w:val="21"/>
                <w:szCs w:val="21"/>
                <w:lang w:val="en-US" w:eastAsia="zh-CN" w:bidi="ar"/>
              </w:rPr>
              <w:t>0</w:t>
            </w:r>
          </w:p>
        </w:tc>
      </w:tr>
      <w:tr w14:paraId="16AD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8380" w:type="dxa"/>
            <w:gridSpan w:val="4"/>
            <w:tcBorders>
              <w:top w:val="nil"/>
              <w:left w:val="single" w:color="auto" w:sz="4" w:space="0"/>
              <w:bottom w:val="single" w:color="auto" w:sz="4" w:space="0"/>
              <w:right w:val="single" w:color="auto" w:sz="4" w:space="0"/>
            </w:tcBorders>
            <w:shd w:val="clear" w:color="auto" w:fill="C6D9F1"/>
            <w:tcMar>
              <w:left w:w="108" w:type="dxa"/>
              <w:right w:w="108" w:type="dxa"/>
            </w:tcMar>
            <w:vAlign w:val="center"/>
          </w:tcPr>
          <w:p w14:paraId="58E042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第二十条第（五）项</w:t>
            </w:r>
          </w:p>
        </w:tc>
      </w:tr>
      <w:tr w14:paraId="7264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280D0B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信息内容</w:t>
            </w:r>
          </w:p>
        </w:tc>
        <w:tc>
          <w:tcPr>
            <w:tcW w:w="5517" w:type="dxa"/>
            <w:gridSpan w:val="3"/>
            <w:tcBorders>
              <w:top w:val="nil"/>
              <w:left w:val="nil"/>
              <w:bottom w:val="single" w:color="auto" w:sz="4" w:space="0"/>
              <w:right w:val="single" w:color="auto" w:sz="4" w:space="0"/>
            </w:tcBorders>
            <w:shd w:val="clear" w:color="auto" w:fill="auto"/>
            <w:tcMar>
              <w:left w:w="108" w:type="dxa"/>
              <w:right w:w="108" w:type="dxa"/>
            </w:tcMar>
            <w:vAlign w:val="center"/>
          </w:tcPr>
          <w:p w14:paraId="13ADEF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color w:val="000000"/>
                <w:kern w:val="0"/>
                <w:sz w:val="20"/>
                <w:szCs w:val="20"/>
                <w:shd w:val="clear" w:fill="FFFFFF"/>
                <w:lang w:val="en-US" w:eastAsia="zh-CN" w:bidi="ar"/>
              </w:rPr>
              <w:t>本年处理决定数量</w:t>
            </w:r>
          </w:p>
        </w:tc>
      </w:tr>
      <w:tr w14:paraId="4CB4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41EBC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行政许可</w:t>
            </w:r>
          </w:p>
        </w:tc>
        <w:tc>
          <w:tcPr>
            <w:tcW w:w="5517" w:type="dxa"/>
            <w:gridSpan w:val="3"/>
            <w:tcBorders>
              <w:top w:val="nil"/>
              <w:left w:val="nil"/>
              <w:bottom w:val="single" w:color="auto" w:sz="4" w:space="0"/>
              <w:right w:val="single" w:color="auto" w:sz="4" w:space="0"/>
            </w:tcBorders>
            <w:shd w:val="clear" w:color="auto" w:fill="auto"/>
            <w:tcMar>
              <w:left w:w="108" w:type="dxa"/>
              <w:right w:w="108" w:type="dxa"/>
            </w:tcMar>
            <w:vAlign w:val="center"/>
          </w:tcPr>
          <w:p w14:paraId="4B8D52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r>
      <w:tr w14:paraId="78CD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8380" w:type="dxa"/>
            <w:gridSpan w:val="4"/>
            <w:tcBorders>
              <w:top w:val="nil"/>
              <w:left w:val="single" w:color="auto" w:sz="4" w:space="0"/>
              <w:bottom w:val="single" w:color="auto" w:sz="4" w:space="0"/>
              <w:right w:val="single" w:color="auto" w:sz="4" w:space="0"/>
            </w:tcBorders>
            <w:shd w:val="clear" w:color="auto" w:fill="C6D9F1"/>
            <w:tcMar>
              <w:left w:w="108" w:type="dxa"/>
              <w:right w:w="108" w:type="dxa"/>
            </w:tcMar>
            <w:vAlign w:val="center"/>
          </w:tcPr>
          <w:p w14:paraId="39D896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第二十条第（六）项</w:t>
            </w:r>
          </w:p>
        </w:tc>
      </w:tr>
      <w:tr w14:paraId="3922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4F105C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信息内容</w:t>
            </w:r>
          </w:p>
        </w:tc>
        <w:tc>
          <w:tcPr>
            <w:tcW w:w="5517" w:type="dxa"/>
            <w:gridSpan w:val="3"/>
            <w:tcBorders>
              <w:top w:val="nil"/>
              <w:left w:val="nil"/>
              <w:bottom w:val="single" w:color="auto" w:sz="4" w:space="0"/>
              <w:right w:val="single" w:color="auto" w:sz="4" w:space="0"/>
            </w:tcBorders>
            <w:shd w:val="clear" w:color="auto" w:fill="auto"/>
            <w:tcMar>
              <w:left w:w="108" w:type="dxa"/>
              <w:right w:w="108" w:type="dxa"/>
            </w:tcMar>
            <w:vAlign w:val="center"/>
          </w:tcPr>
          <w:p w14:paraId="29F786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color w:val="000000"/>
                <w:kern w:val="0"/>
                <w:sz w:val="20"/>
                <w:szCs w:val="20"/>
                <w:shd w:val="clear" w:fill="FFFFFF"/>
                <w:lang w:val="en-US" w:eastAsia="zh-CN" w:bidi="ar"/>
              </w:rPr>
              <w:t>本年处理决定数量</w:t>
            </w:r>
          </w:p>
        </w:tc>
      </w:tr>
      <w:tr w14:paraId="4891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0F0331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行政处罚</w:t>
            </w:r>
          </w:p>
        </w:tc>
        <w:tc>
          <w:tcPr>
            <w:tcW w:w="5517" w:type="dxa"/>
            <w:gridSpan w:val="3"/>
            <w:tcBorders>
              <w:top w:val="nil"/>
              <w:left w:val="nil"/>
              <w:bottom w:val="single" w:color="auto" w:sz="4" w:space="0"/>
              <w:right w:val="single" w:color="auto" w:sz="4" w:space="0"/>
            </w:tcBorders>
            <w:shd w:val="clear" w:color="auto" w:fill="auto"/>
            <w:tcMar>
              <w:left w:w="108" w:type="dxa"/>
              <w:right w:w="108" w:type="dxa"/>
            </w:tcMar>
            <w:vAlign w:val="center"/>
          </w:tcPr>
          <w:p w14:paraId="3E15D9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r>
      <w:tr w14:paraId="7103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E7D19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color w:val="000000"/>
                <w:kern w:val="0"/>
                <w:sz w:val="20"/>
                <w:szCs w:val="20"/>
                <w:shd w:val="clear" w:fill="FFFFFF"/>
                <w:lang w:val="en-US" w:eastAsia="zh-CN" w:bidi="ar"/>
              </w:rPr>
              <w:t>行政强制</w:t>
            </w:r>
          </w:p>
        </w:tc>
        <w:tc>
          <w:tcPr>
            <w:tcW w:w="5517" w:type="dxa"/>
            <w:gridSpan w:val="3"/>
            <w:tcBorders>
              <w:top w:val="nil"/>
              <w:left w:val="nil"/>
              <w:bottom w:val="single" w:color="auto" w:sz="4" w:space="0"/>
              <w:right w:val="single" w:color="auto" w:sz="4" w:space="0"/>
            </w:tcBorders>
            <w:shd w:val="clear" w:color="auto" w:fill="auto"/>
            <w:tcMar>
              <w:left w:w="108" w:type="dxa"/>
              <w:right w:w="108" w:type="dxa"/>
            </w:tcMar>
            <w:vAlign w:val="center"/>
          </w:tcPr>
          <w:p w14:paraId="2306B1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r>
      <w:tr w14:paraId="7329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8380" w:type="dxa"/>
            <w:gridSpan w:val="4"/>
            <w:tcBorders>
              <w:top w:val="nil"/>
              <w:left w:val="single" w:color="auto" w:sz="4" w:space="0"/>
              <w:bottom w:val="single" w:color="auto" w:sz="4" w:space="0"/>
              <w:right w:val="single" w:color="auto" w:sz="4" w:space="0"/>
            </w:tcBorders>
            <w:shd w:val="clear" w:color="auto" w:fill="C6D9F1"/>
            <w:tcMar>
              <w:left w:w="108" w:type="dxa"/>
              <w:right w:w="108" w:type="dxa"/>
            </w:tcMar>
            <w:vAlign w:val="center"/>
          </w:tcPr>
          <w:p w14:paraId="512174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第二十条第（八）项</w:t>
            </w:r>
          </w:p>
        </w:tc>
      </w:tr>
      <w:tr w14:paraId="2640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1E6ACC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信息内容</w:t>
            </w:r>
          </w:p>
        </w:tc>
        <w:tc>
          <w:tcPr>
            <w:tcW w:w="5517" w:type="dxa"/>
            <w:gridSpan w:val="3"/>
            <w:tcBorders>
              <w:top w:val="nil"/>
              <w:left w:val="nil"/>
              <w:bottom w:val="single" w:color="auto" w:sz="4" w:space="0"/>
              <w:right w:val="single" w:color="000000" w:sz="4" w:space="0"/>
            </w:tcBorders>
            <w:shd w:val="clear" w:color="auto" w:fill="auto"/>
            <w:tcMar>
              <w:left w:w="108" w:type="dxa"/>
              <w:right w:w="108" w:type="dxa"/>
            </w:tcMar>
            <w:vAlign w:val="center"/>
          </w:tcPr>
          <w:p w14:paraId="7BCE79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color w:val="000000"/>
                <w:kern w:val="0"/>
                <w:sz w:val="20"/>
                <w:szCs w:val="20"/>
                <w:shd w:val="clear" w:fill="FFFFFF"/>
                <w:lang w:val="en-US" w:eastAsia="zh-CN" w:bidi="ar"/>
              </w:rPr>
              <w:t>本年收费金额（单位：万元）</w:t>
            </w:r>
          </w:p>
        </w:tc>
      </w:tr>
      <w:tr w14:paraId="4655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jc w:val="center"/>
        </w:trPr>
        <w:tc>
          <w:tcPr>
            <w:tcW w:w="2863"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3B9812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行政事业性收费</w:t>
            </w:r>
          </w:p>
        </w:tc>
        <w:tc>
          <w:tcPr>
            <w:tcW w:w="5517" w:type="dxa"/>
            <w:gridSpan w:val="3"/>
            <w:tcBorders>
              <w:top w:val="nil"/>
              <w:left w:val="nil"/>
              <w:bottom w:val="single" w:color="auto" w:sz="4" w:space="0"/>
              <w:right w:val="single" w:color="000000" w:sz="4" w:space="0"/>
            </w:tcBorders>
            <w:shd w:val="clear" w:color="auto" w:fill="auto"/>
            <w:tcMar>
              <w:left w:w="108" w:type="dxa"/>
              <w:right w:w="108" w:type="dxa"/>
            </w:tcMar>
            <w:vAlign w:val="center"/>
          </w:tcPr>
          <w:p w14:paraId="11DE03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1"/>
                <w:szCs w:val="21"/>
                <w:lang w:val="en-US" w:eastAsia="zh-CN" w:bidi="ar"/>
              </w:rPr>
              <w:t>0</w:t>
            </w:r>
          </w:p>
        </w:tc>
      </w:tr>
    </w:tbl>
    <w:p w14:paraId="67FFA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eastAsiaTheme="minorEastAsia"/>
          <w:i w:val="0"/>
          <w:iCs w:val="0"/>
          <w:caps w:val="0"/>
          <w:color w:val="333333"/>
          <w:spacing w:val="0"/>
          <w:kern w:val="0"/>
          <w:sz w:val="21"/>
          <w:szCs w:val="21"/>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三、收到和处理政府信息公开申请情况</w:t>
      </w:r>
    </w:p>
    <w:tbl>
      <w:tblPr>
        <w:tblStyle w:val="7"/>
        <w:tblpPr w:vertAnchor="text" w:tblpXSpec="left"/>
        <w:tblW w:w="884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23"/>
        <w:gridCol w:w="1878"/>
        <w:gridCol w:w="749"/>
        <w:gridCol w:w="699"/>
        <w:gridCol w:w="699"/>
        <w:gridCol w:w="749"/>
        <w:gridCol w:w="888"/>
        <w:gridCol w:w="660"/>
        <w:gridCol w:w="1082"/>
      </w:tblGrid>
      <w:tr w14:paraId="393D72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17" w:type="dxa"/>
            <w:gridSpan w:val="3"/>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7527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（本</w:t>
            </w:r>
          </w:p>
          <w:p w14:paraId="79E4BC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列数据的勾稽关系为：第一项加第二项之和，等于第三项加第四项之和）</w:t>
            </w:r>
          </w:p>
        </w:tc>
        <w:tc>
          <w:tcPr>
            <w:tcW w:w="5526" w:type="dxa"/>
            <w:gridSpan w:val="7"/>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6A6CC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申请人情况</w:t>
            </w:r>
          </w:p>
        </w:tc>
      </w:tr>
      <w:tr w14:paraId="1031B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17" w:type="dxa"/>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143468E">
            <w:pPr>
              <w:widowControl/>
              <w:jc w:val="left"/>
              <w:rPr>
                <w:rFonts w:hint="eastAsia" w:ascii="宋体" w:hAnsiTheme="minorHAnsi" w:eastAsiaTheme="minorEastAsia" w:cstheme="minorBidi"/>
                <w:kern w:val="0"/>
                <w:sz w:val="24"/>
                <w:szCs w:val="24"/>
                <w:lang w:bidi="ar"/>
              </w:rPr>
            </w:pPr>
          </w:p>
        </w:tc>
        <w:tc>
          <w:tcPr>
            <w:tcW w:w="749"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14:paraId="444695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自然人</w:t>
            </w:r>
          </w:p>
        </w:tc>
        <w:tc>
          <w:tcPr>
            <w:tcW w:w="3695" w:type="dxa"/>
            <w:gridSpan w:val="5"/>
            <w:tcBorders>
              <w:top w:val="nil"/>
              <w:left w:val="nil"/>
              <w:bottom w:val="single" w:color="auto" w:sz="4" w:space="0"/>
              <w:right w:val="single" w:color="auto" w:sz="4" w:space="0"/>
            </w:tcBorders>
            <w:shd w:val="clear" w:color="auto" w:fill="auto"/>
            <w:tcMar>
              <w:left w:w="108" w:type="dxa"/>
              <w:right w:w="108" w:type="dxa"/>
            </w:tcMar>
            <w:vAlign w:val="center"/>
          </w:tcPr>
          <w:p w14:paraId="47CC51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法人或其他组织</w:t>
            </w:r>
          </w:p>
        </w:tc>
        <w:tc>
          <w:tcPr>
            <w:tcW w:w="1082"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14:paraId="3B3EC4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总计</w:t>
            </w:r>
          </w:p>
        </w:tc>
      </w:tr>
      <w:tr w14:paraId="7C09F4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17" w:type="dxa"/>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E73D118">
            <w:pPr>
              <w:widowControl/>
              <w:jc w:val="left"/>
              <w:rPr>
                <w:rFonts w:hint="eastAsia" w:ascii="宋体" w:hAnsiTheme="minorHAnsi" w:eastAsiaTheme="minorEastAsia" w:cstheme="minorBidi"/>
                <w:kern w:val="0"/>
                <w:sz w:val="24"/>
                <w:szCs w:val="24"/>
                <w:lang w:bidi="ar"/>
              </w:rPr>
            </w:pPr>
          </w:p>
        </w:tc>
        <w:tc>
          <w:tcPr>
            <w:tcW w:w="749"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11A32001">
            <w:pPr>
              <w:widowControl/>
              <w:jc w:val="left"/>
              <w:rPr>
                <w:rFonts w:hint="eastAsia" w:ascii="宋体" w:hAnsiTheme="minorHAnsi" w:eastAsiaTheme="minorEastAsia" w:cstheme="minorBidi"/>
                <w:kern w:val="0"/>
                <w:sz w:val="24"/>
                <w:szCs w:val="24"/>
                <w:lang w:bidi="ar"/>
              </w:rPr>
            </w:pP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64DD08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商业企业</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4A4B5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科研机构</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30F243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社会公益组织</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10F09B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法律服务机构</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06CCBC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其他</w:t>
            </w:r>
          </w:p>
        </w:tc>
        <w:tc>
          <w:tcPr>
            <w:tcW w:w="1082"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30D203D6">
            <w:pPr>
              <w:widowControl/>
              <w:jc w:val="left"/>
              <w:rPr>
                <w:rFonts w:hint="eastAsia" w:ascii="宋体" w:hAnsiTheme="minorHAnsi" w:eastAsiaTheme="minorEastAsia" w:cstheme="minorBidi"/>
                <w:kern w:val="0"/>
                <w:sz w:val="24"/>
                <w:szCs w:val="24"/>
                <w:lang w:bidi="ar"/>
              </w:rPr>
            </w:pPr>
          </w:p>
        </w:tc>
      </w:tr>
      <w:tr w14:paraId="7CE381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17" w:type="dxa"/>
            <w:gridSpan w:val="3"/>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58A447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一、本年新收政府信息公开申请数量</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4974E7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cs="Calibri" w:eastAsiaTheme="minorEastAsia"/>
                <w:kern w:val="0"/>
                <w:sz w:val="20"/>
                <w:szCs w:val="20"/>
                <w:lang w:val="en-US" w:eastAsia="zh-CN" w:bidi="ar"/>
              </w:rPr>
              <w:t>1</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E69E9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FAE65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76F39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01B150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79BD61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4576A8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cs="Calibri" w:eastAsiaTheme="minorEastAsia"/>
                <w:kern w:val="0"/>
                <w:sz w:val="20"/>
                <w:szCs w:val="20"/>
                <w:lang w:val="en-US" w:eastAsia="zh-CN" w:bidi="ar"/>
              </w:rPr>
              <w:t>1</w:t>
            </w:r>
          </w:p>
        </w:tc>
      </w:tr>
      <w:tr w14:paraId="67B746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17" w:type="dxa"/>
            <w:gridSpan w:val="3"/>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40C728F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二、上年结转政府信息公开申请数量</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2C6BA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FBA00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6A9AA5B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5A14CE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0644C3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63D36B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7C89A9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6EF2C8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4F2B5D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三、本年度办理结果</w:t>
            </w:r>
          </w:p>
        </w:tc>
        <w:tc>
          <w:tcPr>
            <w:tcW w:w="2701" w:type="dxa"/>
            <w:gridSpan w:val="2"/>
            <w:tcBorders>
              <w:top w:val="nil"/>
              <w:left w:val="nil"/>
              <w:bottom w:val="single" w:color="auto" w:sz="4" w:space="0"/>
              <w:right w:val="single" w:color="auto" w:sz="4" w:space="0"/>
            </w:tcBorders>
            <w:shd w:val="clear" w:color="auto" w:fill="auto"/>
            <w:tcMar>
              <w:left w:w="108" w:type="dxa"/>
              <w:right w:w="108" w:type="dxa"/>
            </w:tcMar>
            <w:vAlign w:val="center"/>
          </w:tcPr>
          <w:p w14:paraId="6A1FF9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（一）予以公开</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699A54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cs="Calibri" w:eastAsiaTheme="minorEastAsia"/>
                <w:kern w:val="0"/>
                <w:sz w:val="20"/>
                <w:szCs w:val="20"/>
                <w:lang w:val="en-US" w:eastAsia="zh-CN" w:bidi="ar"/>
              </w:rPr>
              <w:t>1</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87102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271F1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3B8711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64C8CE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06FAE2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6D2EDF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cs="Calibri" w:eastAsiaTheme="minorEastAsia"/>
                <w:kern w:val="0"/>
                <w:sz w:val="20"/>
                <w:szCs w:val="20"/>
                <w:lang w:val="en-US" w:eastAsia="zh-CN" w:bidi="ar"/>
              </w:rPr>
              <w:t>1</w:t>
            </w:r>
          </w:p>
        </w:tc>
      </w:tr>
      <w:tr w14:paraId="3B5685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79F57B06">
            <w:pPr>
              <w:widowControl/>
              <w:jc w:val="left"/>
              <w:rPr>
                <w:rFonts w:hint="eastAsia" w:ascii="宋体" w:hAnsiTheme="minorHAnsi" w:eastAsiaTheme="minorEastAsia" w:cstheme="minorBidi"/>
                <w:kern w:val="0"/>
                <w:sz w:val="24"/>
                <w:szCs w:val="24"/>
                <w:lang w:bidi="ar"/>
              </w:rPr>
            </w:pPr>
          </w:p>
        </w:tc>
        <w:tc>
          <w:tcPr>
            <w:tcW w:w="2701" w:type="dxa"/>
            <w:gridSpan w:val="2"/>
            <w:tcBorders>
              <w:top w:val="nil"/>
              <w:left w:val="nil"/>
              <w:bottom w:val="single" w:color="auto" w:sz="4" w:space="0"/>
              <w:right w:val="single" w:color="auto" w:sz="4" w:space="0"/>
            </w:tcBorders>
            <w:shd w:val="clear" w:color="auto" w:fill="auto"/>
            <w:tcMar>
              <w:left w:w="108" w:type="dxa"/>
              <w:right w:w="108" w:type="dxa"/>
            </w:tcMar>
            <w:vAlign w:val="center"/>
          </w:tcPr>
          <w:p w14:paraId="477880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（二）部分公开（区分处理的，只计这一情形，不计其他情形）</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330EFC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7B0F23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045782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5F7689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5E47A5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307BEC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3AA52C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6C0377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1A2E8AB4">
            <w:pPr>
              <w:widowControl/>
              <w:jc w:val="left"/>
              <w:rPr>
                <w:rFonts w:hint="eastAsia" w:ascii="宋体" w:hAnsiTheme="minorHAnsi" w:eastAsiaTheme="minorEastAsia" w:cstheme="minorBidi"/>
                <w:kern w:val="0"/>
                <w:sz w:val="24"/>
                <w:szCs w:val="24"/>
                <w:lang w:bidi="ar"/>
              </w:rPr>
            </w:pPr>
          </w:p>
        </w:tc>
        <w:tc>
          <w:tcPr>
            <w:tcW w:w="823"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14:paraId="638450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（三）不予公开</w:t>
            </w: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765824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1.</w:t>
            </w:r>
            <w:r>
              <w:rPr>
                <w:rFonts w:hint="eastAsia" w:ascii="宋体" w:hAnsi="宋体" w:eastAsia="宋体" w:cs="宋体"/>
                <w:kern w:val="0"/>
                <w:sz w:val="20"/>
                <w:szCs w:val="20"/>
                <w:lang w:val="en-US" w:eastAsia="zh-CN" w:bidi="ar"/>
              </w:rPr>
              <w:t>属于国家秘密</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7CFE2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08262D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7940A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799F7B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170E7A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3CD926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36ACC1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68C6F9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370E535A">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78085688">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7568CF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2.</w:t>
            </w:r>
            <w:r>
              <w:rPr>
                <w:rFonts w:hint="eastAsia" w:ascii="宋体" w:hAnsi="宋体" w:eastAsia="宋体" w:cs="宋体"/>
                <w:kern w:val="0"/>
                <w:sz w:val="20"/>
                <w:szCs w:val="20"/>
                <w:lang w:val="en-US" w:eastAsia="zh-CN" w:bidi="ar"/>
              </w:rPr>
              <w:t>其他法律行政法规禁止公开</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630C5D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564BEA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423B7D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7A7FB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5A1E0A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08A713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1E1E8E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154E79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8CF8A29">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159C1E37">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3479FB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3.</w:t>
            </w:r>
            <w:r>
              <w:rPr>
                <w:rFonts w:hint="eastAsia" w:ascii="宋体" w:hAnsi="宋体" w:eastAsia="宋体" w:cs="宋体"/>
                <w:kern w:val="0"/>
                <w:sz w:val="20"/>
                <w:szCs w:val="20"/>
                <w:lang w:val="en-US" w:eastAsia="zh-CN" w:bidi="ar"/>
              </w:rPr>
              <w:t>危及“三安全一稳定”</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D9C4B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09B53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8D78C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4F3A69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3748A7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678A2A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00190F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4AD3D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5C06CD92">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337A636D">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41BE09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4.</w:t>
            </w:r>
            <w:r>
              <w:rPr>
                <w:rFonts w:hint="eastAsia" w:ascii="宋体" w:hAnsi="宋体" w:eastAsia="宋体" w:cs="宋体"/>
                <w:kern w:val="0"/>
                <w:sz w:val="20"/>
                <w:szCs w:val="20"/>
                <w:lang w:val="en-US" w:eastAsia="zh-CN" w:bidi="ar"/>
              </w:rPr>
              <w:t>保护第三方合法权益</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738B31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3F152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02BDC3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42786C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60DCFD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594D3B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41B61C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188F0F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456FFD58">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60BCC7B6">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193D39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5.</w:t>
            </w:r>
            <w:r>
              <w:rPr>
                <w:rFonts w:hint="eastAsia" w:ascii="宋体" w:hAnsi="宋体" w:eastAsia="宋体" w:cs="宋体"/>
                <w:kern w:val="0"/>
                <w:sz w:val="20"/>
                <w:szCs w:val="20"/>
                <w:lang w:val="en-US" w:eastAsia="zh-CN" w:bidi="ar"/>
              </w:rPr>
              <w:t>属于三类内部事务信息</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64052A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16BD6A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96B3B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97BBB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192DB7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18569F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2D1D5C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1C9BF5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02C0DE8D">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217FAE01">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374543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6.</w:t>
            </w:r>
            <w:r>
              <w:rPr>
                <w:rFonts w:hint="eastAsia" w:ascii="宋体" w:hAnsi="宋体" w:eastAsia="宋体" w:cs="宋体"/>
                <w:kern w:val="0"/>
                <w:sz w:val="20"/>
                <w:szCs w:val="20"/>
                <w:lang w:val="en-US" w:eastAsia="zh-CN" w:bidi="ar"/>
              </w:rPr>
              <w:t>属于四类过程性信息</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3E4105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6512F7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515F34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DF7BB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22B5CD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325C7C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7D961B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2F7ABB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313B9782">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180C7066">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3BD44E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7.</w:t>
            </w:r>
            <w:r>
              <w:rPr>
                <w:rFonts w:hint="eastAsia" w:ascii="宋体" w:hAnsi="宋体" w:eastAsia="宋体" w:cs="宋体"/>
                <w:kern w:val="0"/>
                <w:sz w:val="20"/>
                <w:szCs w:val="20"/>
                <w:lang w:val="en-US" w:eastAsia="zh-CN" w:bidi="ar"/>
              </w:rPr>
              <w:t>属于行政执法案卷</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67E68A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4E450F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0209AD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A227F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480C73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25E83E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35DF44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20A208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0D1EBD75">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6AC677EE">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1DBA6F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8.</w:t>
            </w:r>
            <w:r>
              <w:rPr>
                <w:rFonts w:hint="eastAsia" w:ascii="宋体" w:hAnsi="宋体" w:eastAsia="宋体" w:cs="宋体"/>
                <w:kern w:val="0"/>
                <w:sz w:val="20"/>
                <w:szCs w:val="20"/>
                <w:lang w:val="en-US" w:eastAsia="zh-CN" w:bidi="ar"/>
              </w:rPr>
              <w:t>属于行政查询事项</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4D866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662CE8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5475C2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CDC49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05F25E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53AD00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75CAA8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0038F1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2EB2B060">
            <w:pPr>
              <w:widowControl/>
              <w:jc w:val="left"/>
              <w:rPr>
                <w:rFonts w:hint="eastAsia" w:ascii="宋体" w:hAnsiTheme="minorHAnsi" w:eastAsiaTheme="minorEastAsia" w:cstheme="minorBidi"/>
                <w:kern w:val="0"/>
                <w:sz w:val="24"/>
                <w:szCs w:val="24"/>
                <w:lang w:bidi="ar"/>
              </w:rPr>
            </w:pPr>
          </w:p>
        </w:tc>
        <w:tc>
          <w:tcPr>
            <w:tcW w:w="823"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14:paraId="2B5A4A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（四）无法提供</w:t>
            </w: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26AA22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1.</w:t>
            </w:r>
            <w:r>
              <w:rPr>
                <w:rFonts w:hint="eastAsia" w:ascii="宋体" w:hAnsi="宋体" w:eastAsia="宋体" w:cs="宋体"/>
                <w:kern w:val="0"/>
                <w:sz w:val="20"/>
                <w:szCs w:val="20"/>
                <w:lang w:val="en-US" w:eastAsia="zh-CN" w:bidi="ar"/>
              </w:rPr>
              <w:t>本机关不掌握相关政府信息</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42826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CF8FC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5B2306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640804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623E90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368962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00A71F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423B51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103E6E9C">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3F13D54E">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696741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2.</w:t>
            </w:r>
            <w:r>
              <w:rPr>
                <w:rFonts w:hint="eastAsia" w:ascii="宋体" w:hAnsi="宋体" w:eastAsia="宋体" w:cs="宋体"/>
                <w:kern w:val="0"/>
                <w:sz w:val="20"/>
                <w:szCs w:val="20"/>
                <w:lang w:val="en-US" w:eastAsia="zh-CN" w:bidi="ar"/>
              </w:rPr>
              <w:t>没有现成信息需要另行制作</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22EC1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542AA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7367B7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42574F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57D207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482B38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28081D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16075C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3432BC4C">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738B412B">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549793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3.</w:t>
            </w:r>
            <w:r>
              <w:rPr>
                <w:rFonts w:hint="eastAsia" w:ascii="宋体" w:hAnsi="宋体" w:eastAsia="宋体" w:cs="宋体"/>
                <w:kern w:val="0"/>
                <w:sz w:val="20"/>
                <w:szCs w:val="20"/>
                <w:lang w:val="en-US" w:eastAsia="zh-CN" w:bidi="ar"/>
              </w:rPr>
              <w:t>补正后申请内容仍不明确</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AC568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19ACDB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758E64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48F5CE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6A2B5E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6FA9F2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7058ED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4FDAD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4800F16">
            <w:pPr>
              <w:widowControl/>
              <w:jc w:val="left"/>
              <w:rPr>
                <w:rFonts w:hint="eastAsia" w:ascii="宋体" w:hAnsiTheme="minorHAnsi" w:eastAsiaTheme="minorEastAsia" w:cstheme="minorBidi"/>
                <w:kern w:val="0"/>
                <w:sz w:val="24"/>
                <w:szCs w:val="24"/>
                <w:lang w:bidi="ar"/>
              </w:rPr>
            </w:pPr>
          </w:p>
        </w:tc>
        <w:tc>
          <w:tcPr>
            <w:tcW w:w="823" w:type="dxa"/>
            <w:vMerge w:val="restart"/>
            <w:tcBorders>
              <w:top w:val="nil"/>
              <w:left w:val="nil"/>
              <w:bottom w:val="single" w:color="auto" w:sz="4" w:space="0"/>
              <w:right w:val="single" w:color="auto" w:sz="4" w:space="0"/>
            </w:tcBorders>
            <w:shd w:val="clear" w:color="auto" w:fill="auto"/>
            <w:tcMar>
              <w:left w:w="108" w:type="dxa"/>
              <w:right w:w="108" w:type="dxa"/>
            </w:tcMar>
            <w:vAlign w:val="center"/>
          </w:tcPr>
          <w:p w14:paraId="59F4F1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（五）不予处理</w:t>
            </w: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1B2FEC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1.</w:t>
            </w:r>
            <w:r>
              <w:rPr>
                <w:rFonts w:hint="eastAsia" w:ascii="宋体" w:hAnsi="宋体" w:eastAsia="宋体" w:cs="宋体"/>
                <w:kern w:val="0"/>
                <w:sz w:val="20"/>
                <w:szCs w:val="20"/>
                <w:lang w:val="en-US" w:eastAsia="zh-CN" w:bidi="ar"/>
              </w:rPr>
              <w:t>信访举报投诉类申请</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43BF8A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656B5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57369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78282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21F5A6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7A5B92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5BFCA4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6E38F8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1E72FE84">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2C8F83B7">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2CEDC5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2.</w:t>
            </w:r>
            <w:r>
              <w:rPr>
                <w:rFonts w:hint="eastAsia" w:ascii="宋体" w:hAnsi="宋体" w:eastAsia="宋体" w:cs="宋体"/>
                <w:kern w:val="0"/>
                <w:sz w:val="20"/>
                <w:szCs w:val="20"/>
                <w:lang w:val="en-US" w:eastAsia="zh-CN" w:bidi="ar"/>
              </w:rPr>
              <w:t>重复申请</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BBA6A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425BC3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20D126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763230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0C6BB5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00F5EB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288B98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493DEE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57F2BD25">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204EF02B">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16970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3.</w:t>
            </w:r>
            <w:r>
              <w:rPr>
                <w:rFonts w:hint="eastAsia" w:ascii="宋体" w:hAnsi="宋体" w:eastAsia="宋体" w:cs="宋体"/>
                <w:kern w:val="0"/>
                <w:sz w:val="20"/>
                <w:szCs w:val="20"/>
                <w:lang w:val="en-US" w:eastAsia="zh-CN" w:bidi="ar"/>
              </w:rPr>
              <w:t>要求提供公开出版物</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D481C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0F412A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6E1881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2272E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375BD5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505F57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2438FC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2A6F32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11CB785D">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010CA01C">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591E33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4.</w:t>
            </w:r>
            <w:r>
              <w:rPr>
                <w:rFonts w:hint="eastAsia" w:ascii="宋体" w:hAnsi="宋体" w:eastAsia="宋体" w:cs="宋体"/>
                <w:kern w:val="0"/>
                <w:sz w:val="20"/>
                <w:szCs w:val="20"/>
                <w:lang w:val="en-US" w:eastAsia="zh-CN" w:bidi="ar"/>
              </w:rPr>
              <w:t>无正当理由大量反复申请</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69DF55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56607C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5E7D44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48B60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01AC12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13EB50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70C027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0055B3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443BACCD">
            <w:pPr>
              <w:widowControl/>
              <w:jc w:val="left"/>
              <w:rPr>
                <w:rFonts w:hint="eastAsia" w:ascii="宋体" w:hAnsiTheme="minorHAnsi" w:eastAsiaTheme="minorEastAsia" w:cstheme="minorBidi"/>
                <w:kern w:val="0"/>
                <w:sz w:val="24"/>
                <w:szCs w:val="24"/>
                <w:lang w:bidi="ar"/>
              </w:rPr>
            </w:pPr>
          </w:p>
        </w:tc>
        <w:tc>
          <w:tcPr>
            <w:tcW w:w="823" w:type="dxa"/>
            <w:vMerge w:val="continue"/>
            <w:tcBorders>
              <w:top w:val="nil"/>
              <w:left w:val="nil"/>
              <w:bottom w:val="single" w:color="auto" w:sz="4" w:space="0"/>
              <w:right w:val="single" w:color="auto" w:sz="4" w:space="0"/>
            </w:tcBorders>
            <w:shd w:val="clear" w:color="auto" w:fill="auto"/>
            <w:tcMar>
              <w:left w:w="108" w:type="dxa"/>
              <w:right w:w="108" w:type="dxa"/>
            </w:tcMar>
            <w:vAlign w:val="center"/>
          </w:tcPr>
          <w:p w14:paraId="74FEAFDE">
            <w:pPr>
              <w:widowControl/>
              <w:jc w:val="left"/>
              <w:rPr>
                <w:rFonts w:hint="eastAsia" w:ascii="宋体" w:hAnsiTheme="minorHAnsi" w:eastAsiaTheme="minorEastAsia" w:cstheme="minorBidi"/>
                <w:kern w:val="0"/>
                <w:sz w:val="24"/>
                <w:szCs w:val="24"/>
                <w:lang w:bidi="ar"/>
              </w:rPr>
            </w:pPr>
          </w:p>
        </w:tc>
        <w:tc>
          <w:tcPr>
            <w:tcW w:w="1878" w:type="dxa"/>
            <w:tcBorders>
              <w:top w:val="nil"/>
              <w:left w:val="nil"/>
              <w:bottom w:val="single" w:color="auto" w:sz="4" w:space="0"/>
              <w:right w:val="single" w:color="auto" w:sz="4" w:space="0"/>
            </w:tcBorders>
            <w:shd w:val="clear" w:color="auto" w:fill="auto"/>
            <w:tcMar>
              <w:left w:w="108" w:type="dxa"/>
              <w:right w:w="108" w:type="dxa"/>
            </w:tcMar>
            <w:vAlign w:val="center"/>
          </w:tcPr>
          <w:p w14:paraId="571D66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5.</w:t>
            </w:r>
            <w:r>
              <w:rPr>
                <w:rFonts w:hint="eastAsia" w:ascii="宋体" w:hAnsi="宋体" w:eastAsia="宋体" w:cs="宋体"/>
                <w:kern w:val="0"/>
                <w:sz w:val="20"/>
                <w:szCs w:val="20"/>
                <w:lang w:val="en-US" w:eastAsia="zh-CN" w:bidi="ar"/>
              </w:rPr>
              <w:t>要求行政机关确认或重新出具已获取信息</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050C8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6CDFA6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6B3CF7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EE586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649BFE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051DBB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688662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29E1C1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2F6359C4">
            <w:pPr>
              <w:widowControl/>
              <w:jc w:val="left"/>
              <w:rPr>
                <w:rFonts w:hint="eastAsia" w:ascii="宋体" w:hAnsiTheme="minorHAnsi" w:eastAsiaTheme="minorEastAsia" w:cstheme="minorBidi"/>
                <w:kern w:val="0"/>
                <w:sz w:val="24"/>
                <w:szCs w:val="24"/>
                <w:lang w:bidi="ar"/>
              </w:rPr>
            </w:pPr>
          </w:p>
        </w:tc>
        <w:tc>
          <w:tcPr>
            <w:tcW w:w="2701" w:type="dxa"/>
            <w:gridSpan w:val="2"/>
            <w:tcBorders>
              <w:top w:val="nil"/>
              <w:left w:val="nil"/>
              <w:bottom w:val="single" w:color="auto" w:sz="4" w:space="0"/>
              <w:right w:val="single" w:color="auto" w:sz="4" w:space="0"/>
            </w:tcBorders>
            <w:shd w:val="clear" w:color="auto" w:fill="auto"/>
            <w:tcMar>
              <w:left w:w="108" w:type="dxa"/>
              <w:right w:w="108" w:type="dxa"/>
            </w:tcMar>
            <w:vAlign w:val="center"/>
          </w:tcPr>
          <w:p w14:paraId="41AFFD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（六）其他处理</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89C7F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5E2E00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0CE57B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1BA67E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687680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57D528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23C214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r w14:paraId="469C98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16"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708275FC">
            <w:pPr>
              <w:widowControl/>
              <w:jc w:val="left"/>
              <w:rPr>
                <w:rFonts w:hint="eastAsia" w:ascii="宋体" w:hAnsiTheme="minorHAnsi" w:eastAsiaTheme="minorEastAsia" w:cstheme="minorBidi"/>
                <w:kern w:val="0"/>
                <w:sz w:val="24"/>
                <w:szCs w:val="24"/>
                <w:lang w:bidi="ar"/>
              </w:rPr>
            </w:pPr>
          </w:p>
        </w:tc>
        <w:tc>
          <w:tcPr>
            <w:tcW w:w="2701" w:type="dxa"/>
            <w:gridSpan w:val="2"/>
            <w:tcBorders>
              <w:top w:val="nil"/>
              <w:left w:val="nil"/>
              <w:bottom w:val="single" w:color="auto" w:sz="4" w:space="0"/>
              <w:right w:val="single" w:color="auto" w:sz="4" w:space="0"/>
            </w:tcBorders>
            <w:shd w:val="clear" w:color="auto" w:fill="auto"/>
            <w:tcMar>
              <w:left w:w="108" w:type="dxa"/>
              <w:right w:w="108" w:type="dxa"/>
            </w:tcMar>
            <w:vAlign w:val="center"/>
          </w:tcPr>
          <w:p w14:paraId="2FCCBD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（七）总计</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2C19A9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cs="Calibri" w:eastAsiaTheme="minorEastAsia"/>
                <w:kern w:val="0"/>
                <w:sz w:val="20"/>
                <w:szCs w:val="20"/>
                <w:lang w:val="en-US" w:eastAsia="zh-CN" w:bidi="ar"/>
              </w:rPr>
              <w:t>1</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70CD90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337F5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5A7673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5A0AA0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208BB4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2D7F53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cs="Calibri" w:eastAsiaTheme="minorEastAsia"/>
                <w:kern w:val="0"/>
                <w:sz w:val="20"/>
                <w:szCs w:val="20"/>
                <w:lang w:val="en-US" w:eastAsia="zh-CN" w:bidi="ar"/>
              </w:rPr>
              <w:t>1</w:t>
            </w:r>
          </w:p>
        </w:tc>
      </w:tr>
      <w:tr w14:paraId="46548C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17" w:type="dxa"/>
            <w:gridSpan w:val="3"/>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2B631A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eastAsia" w:ascii="宋体" w:hAnsi="宋体" w:eastAsia="宋体" w:cs="宋体"/>
                <w:kern w:val="0"/>
                <w:sz w:val="20"/>
                <w:szCs w:val="20"/>
                <w:lang w:val="en-US" w:eastAsia="zh-CN" w:bidi="ar"/>
              </w:rPr>
              <w:t>四、结转下年度继续办理</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693971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143E7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99" w:type="dxa"/>
            <w:tcBorders>
              <w:top w:val="nil"/>
              <w:left w:val="nil"/>
              <w:bottom w:val="single" w:color="auto" w:sz="4" w:space="0"/>
              <w:right w:val="single" w:color="auto" w:sz="4" w:space="0"/>
            </w:tcBorders>
            <w:shd w:val="clear" w:color="auto" w:fill="auto"/>
            <w:tcMar>
              <w:left w:w="108" w:type="dxa"/>
              <w:right w:w="108" w:type="dxa"/>
            </w:tcMar>
            <w:vAlign w:val="center"/>
          </w:tcPr>
          <w:p w14:paraId="3A595F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749" w:type="dxa"/>
            <w:tcBorders>
              <w:top w:val="nil"/>
              <w:left w:val="nil"/>
              <w:bottom w:val="single" w:color="auto" w:sz="4" w:space="0"/>
              <w:right w:val="single" w:color="auto" w:sz="4" w:space="0"/>
            </w:tcBorders>
            <w:shd w:val="clear" w:color="auto" w:fill="auto"/>
            <w:tcMar>
              <w:left w:w="108" w:type="dxa"/>
              <w:right w:w="108" w:type="dxa"/>
            </w:tcMar>
            <w:vAlign w:val="center"/>
          </w:tcPr>
          <w:p w14:paraId="090F8E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888" w:type="dxa"/>
            <w:tcBorders>
              <w:top w:val="nil"/>
              <w:left w:val="nil"/>
              <w:bottom w:val="single" w:color="auto" w:sz="4" w:space="0"/>
              <w:right w:val="single" w:color="auto" w:sz="4" w:space="0"/>
            </w:tcBorders>
            <w:shd w:val="clear" w:color="auto" w:fill="auto"/>
            <w:tcMar>
              <w:left w:w="108" w:type="dxa"/>
              <w:right w:w="108" w:type="dxa"/>
            </w:tcMar>
            <w:vAlign w:val="center"/>
          </w:tcPr>
          <w:p w14:paraId="207920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660" w:type="dxa"/>
            <w:tcBorders>
              <w:top w:val="nil"/>
              <w:left w:val="nil"/>
              <w:bottom w:val="single" w:color="auto" w:sz="4" w:space="0"/>
              <w:right w:val="single" w:color="auto" w:sz="4" w:space="0"/>
            </w:tcBorders>
            <w:shd w:val="clear" w:color="auto" w:fill="auto"/>
            <w:tcMar>
              <w:left w:w="108" w:type="dxa"/>
              <w:right w:w="108" w:type="dxa"/>
            </w:tcMar>
            <w:vAlign w:val="center"/>
          </w:tcPr>
          <w:p w14:paraId="5C4DED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c>
          <w:tcPr>
            <w:tcW w:w="1082" w:type="dxa"/>
            <w:tcBorders>
              <w:top w:val="nil"/>
              <w:left w:val="nil"/>
              <w:bottom w:val="single" w:color="auto" w:sz="4" w:space="0"/>
              <w:right w:val="single" w:color="auto" w:sz="4" w:space="0"/>
            </w:tcBorders>
            <w:shd w:val="clear" w:color="auto" w:fill="auto"/>
            <w:tcMar>
              <w:left w:w="108" w:type="dxa"/>
              <w:right w:w="108" w:type="dxa"/>
            </w:tcMar>
            <w:vAlign w:val="center"/>
          </w:tcPr>
          <w:p w14:paraId="297E4C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left"/>
              <w:rPr>
                <w:rFonts w:hint="default" w:ascii="Calibri" w:hAnsi="Calibri" w:cs="Calibri" w:eastAsiaTheme="minorEastAsia"/>
                <w:kern w:val="0"/>
                <w:sz w:val="21"/>
                <w:szCs w:val="21"/>
                <w:lang w:val="en-US" w:eastAsia="zh-CN" w:bidi="ar"/>
              </w:rPr>
            </w:pPr>
            <w:r>
              <w:rPr>
                <w:rFonts w:hint="default" w:ascii="Calibri" w:hAnsi="Calibri" w:cs="Calibri" w:eastAsiaTheme="minorEastAsia"/>
                <w:kern w:val="0"/>
                <w:sz w:val="20"/>
                <w:szCs w:val="20"/>
                <w:lang w:val="en-US" w:eastAsia="zh-CN" w:bidi="ar"/>
              </w:rPr>
              <w:t>0</w:t>
            </w:r>
          </w:p>
        </w:tc>
      </w:tr>
    </w:tbl>
    <w:p w14:paraId="48923D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eastAsiaTheme="minorEastAsia"/>
          <w:i w:val="0"/>
          <w:iCs w:val="0"/>
          <w:caps w:val="0"/>
          <w:color w:val="333333"/>
          <w:spacing w:val="0"/>
          <w:kern w:val="0"/>
          <w:sz w:val="21"/>
          <w:szCs w:val="21"/>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四、政府信息公开行政复议、行政诉讼情况</w:t>
      </w:r>
    </w:p>
    <w:tbl>
      <w:tblPr>
        <w:tblStyle w:val="7"/>
        <w:tblW w:w="88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9"/>
        <w:gridCol w:w="579"/>
        <w:gridCol w:w="580"/>
        <w:gridCol w:w="580"/>
        <w:gridCol w:w="497"/>
        <w:gridCol w:w="580"/>
        <w:gridCol w:w="580"/>
        <w:gridCol w:w="580"/>
        <w:gridCol w:w="580"/>
        <w:gridCol w:w="497"/>
        <w:gridCol w:w="580"/>
        <w:gridCol w:w="580"/>
        <w:gridCol w:w="580"/>
        <w:gridCol w:w="580"/>
        <w:gridCol w:w="883"/>
      </w:tblGrid>
      <w:tr w14:paraId="45E097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1178D8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ascii="仿宋" w:hAnsi="仿宋" w:eastAsia="仿宋" w:cs="仿宋"/>
                <w:color w:val="333333"/>
                <w:kern w:val="0"/>
                <w:sz w:val="24"/>
                <w:szCs w:val="24"/>
                <w:shd w:val="clear" w:fill="FFFFFF"/>
                <w:lang w:val="en-US" w:eastAsia="zh-CN" w:bidi="ar"/>
              </w:rPr>
              <w:t>行政复议</w:t>
            </w:r>
          </w:p>
        </w:tc>
        <w:tc>
          <w:tcPr>
            <w:tcW w:w="5944" w:type="dxa"/>
            <w:gridSpan w:val="10"/>
            <w:tcBorders>
              <w:top w:val="single" w:color="auto" w:sz="4" w:space="0"/>
              <w:left w:val="nil"/>
              <w:bottom w:val="single" w:color="auto" w:sz="4" w:space="0"/>
              <w:right w:val="single" w:color="auto" w:sz="4" w:space="0"/>
            </w:tcBorders>
            <w:shd w:val="clear" w:color="auto" w:fill="auto"/>
            <w:tcMar>
              <w:left w:w="108" w:type="dxa"/>
              <w:right w:w="108" w:type="dxa"/>
            </w:tcMar>
            <w:vAlign w:val="top"/>
          </w:tcPr>
          <w:p w14:paraId="780859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48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行政诉讼</w:t>
            </w:r>
          </w:p>
        </w:tc>
      </w:tr>
      <w:tr w14:paraId="66833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top"/>
          </w:tcPr>
          <w:p w14:paraId="2AAADD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结果维持</w:t>
            </w:r>
          </w:p>
        </w:tc>
        <w:tc>
          <w:tcPr>
            <w:tcW w:w="0" w:type="auto"/>
            <w:vMerge w:val="restart"/>
            <w:tcBorders>
              <w:top w:val="nil"/>
              <w:left w:val="nil"/>
              <w:bottom w:val="single" w:color="auto" w:sz="4" w:space="0"/>
              <w:right w:val="single" w:color="auto" w:sz="4" w:space="0"/>
            </w:tcBorders>
            <w:shd w:val="clear" w:color="auto" w:fill="auto"/>
            <w:tcMar>
              <w:left w:w="108" w:type="dxa"/>
              <w:right w:w="108" w:type="dxa"/>
            </w:tcMar>
            <w:vAlign w:val="top"/>
          </w:tcPr>
          <w:p w14:paraId="4E3C88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结果纠正</w:t>
            </w:r>
          </w:p>
        </w:tc>
        <w:tc>
          <w:tcPr>
            <w:tcW w:w="0" w:type="auto"/>
            <w:vMerge w:val="restart"/>
            <w:tcBorders>
              <w:top w:val="nil"/>
              <w:left w:val="nil"/>
              <w:bottom w:val="single" w:color="auto" w:sz="4" w:space="0"/>
              <w:right w:val="single" w:color="auto" w:sz="4" w:space="0"/>
            </w:tcBorders>
            <w:shd w:val="clear" w:color="auto" w:fill="auto"/>
            <w:tcMar>
              <w:left w:w="108" w:type="dxa"/>
              <w:right w:w="108" w:type="dxa"/>
            </w:tcMar>
            <w:vAlign w:val="top"/>
          </w:tcPr>
          <w:p w14:paraId="17014D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其他结果</w:t>
            </w:r>
          </w:p>
        </w:tc>
        <w:tc>
          <w:tcPr>
            <w:tcW w:w="0" w:type="auto"/>
            <w:vMerge w:val="restart"/>
            <w:tcBorders>
              <w:top w:val="nil"/>
              <w:left w:val="nil"/>
              <w:bottom w:val="single" w:color="auto" w:sz="4" w:space="0"/>
              <w:right w:val="single" w:color="auto" w:sz="4" w:space="0"/>
            </w:tcBorders>
            <w:shd w:val="clear" w:color="auto" w:fill="auto"/>
            <w:tcMar>
              <w:left w:w="108" w:type="dxa"/>
              <w:right w:w="108" w:type="dxa"/>
            </w:tcMar>
            <w:vAlign w:val="top"/>
          </w:tcPr>
          <w:p w14:paraId="22C051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尚未审结</w:t>
            </w:r>
          </w:p>
        </w:tc>
        <w:tc>
          <w:tcPr>
            <w:tcW w:w="0" w:type="auto"/>
            <w:vMerge w:val="restart"/>
            <w:tcBorders>
              <w:top w:val="nil"/>
              <w:left w:val="nil"/>
              <w:bottom w:val="single" w:color="auto" w:sz="4" w:space="0"/>
              <w:right w:val="single" w:color="auto" w:sz="4" w:space="0"/>
            </w:tcBorders>
            <w:shd w:val="clear" w:color="auto" w:fill="auto"/>
            <w:tcMar>
              <w:left w:w="108" w:type="dxa"/>
              <w:right w:w="108" w:type="dxa"/>
            </w:tcMar>
            <w:vAlign w:val="top"/>
          </w:tcPr>
          <w:p w14:paraId="0FD969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总计</w:t>
            </w:r>
          </w:p>
        </w:tc>
        <w:tc>
          <w:tcPr>
            <w:tcW w:w="0" w:type="auto"/>
            <w:gridSpan w:val="5"/>
            <w:tcBorders>
              <w:top w:val="nil"/>
              <w:left w:val="nil"/>
              <w:bottom w:val="single" w:color="auto" w:sz="4" w:space="0"/>
              <w:right w:val="single" w:color="auto" w:sz="4" w:space="0"/>
            </w:tcBorders>
            <w:shd w:val="clear" w:color="auto" w:fill="auto"/>
            <w:tcMar>
              <w:left w:w="108" w:type="dxa"/>
              <w:right w:w="108" w:type="dxa"/>
            </w:tcMar>
            <w:vAlign w:val="top"/>
          </w:tcPr>
          <w:p w14:paraId="714AF4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未经复议直接起诉</w:t>
            </w:r>
          </w:p>
        </w:tc>
        <w:tc>
          <w:tcPr>
            <w:tcW w:w="0" w:type="auto"/>
            <w:gridSpan w:val="5"/>
            <w:tcBorders>
              <w:top w:val="nil"/>
              <w:left w:val="nil"/>
              <w:bottom w:val="single" w:color="auto" w:sz="4" w:space="0"/>
              <w:right w:val="single" w:color="auto" w:sz="4" w:space="0"/>
            </w:tcBorders>
            <w:shd w:val="clear" w:color="auto" w:fill="auto"/>
            <w:tcMar>
              <w:left w:w="108" w:type="dxa"/>
              <w:right w:w="108" w:type="dxa"/>
            </w:tcMar>
            <w:vAlign w:val="top"/>
          </w:tcPr>
          <w:p w14:paraId="2E14B2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复议后起诉</w:t>
            </w:r>
          </w:p>
        </w:tc>
      </w:tr>
      <w:tr w14:paraId="3EE118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top"/>
          </w:tcPr>
          <w:p w14:paraId="5FBDB3C3">
            <w:pPr>
              <w:widowControl/>
              <w:jc w:val="left"/>
              <w:rPr>
                <w:rFonts w:hint="eastAsia" w:ascii="宋体" w:hAnsiTheme="minorHAnsi" w:eastAsiaTheme="minorEastAsia" w:cstheme="minorBidi"/>
                <w:kern w:val="0"/>
                <w:sz w:val="24"/>
                <w:szCs w:val="24"/>
                <w:lang w:bidi="ar"/>
              </w:rPr>
            </w:pPr>
          </w:p>
        </w:tc>
        <w:tc>
          <w:tcPr>
            <w:tcW w:w="0" w:type="auto"/>
            <w:vMerge w:val="continue"/>
            <w:tcBorders>
              <w:top w:val="nil"/>
              <w:left w:val="nil"/>
              <w:bottom w:val="single" w:color="auto" w:sz="4" w:space="0"/>
              <w:right w:val="single" w:color="auto" w:sz="4" w:space="0"/>
            </w:tcBorders>
            <w:shd w:val="clear" w:color="auto" w:fill="auto"/>
            <w:tcMar>
              <w:left w:w="108" w:type="dxa"/>
              <w:right w:w="108" w:type="dxa"/>
            </w:tcMar>
            <w:vAlign w:val="top"/>
          </w:tcPr>
          <w:p w14:paraId="25BADE1E">
            <w:pPr>
              <w:widowControl/>
              <w:jc w:val="left"/>
              <w:rPr>
                <w:rFonts w:hint="eastAsia" w:ascii="宋体" w:hAnsiTheme="minorHAnsi" w:eastAsiaTheme="minorEastAsia" w:cstheme="minorBidi"/>
                <w:kern w:val="0"/>
                <w:sz w:val="24"/>
                <w:szCs w:val="24"/>
                <w:lang w:bidi="ar"/>
              </w:rPr>
            </w:pPr>
          </w:p>
        </w:tc>
        <w:tc>
          <w:tcPr>
            <w:tcW w:w="0" w:type="auto"/>
            <w:vMerge w:val="continue"/>
            <w:tcBorders>
              <w:top w:val="nil"/>
              <w:left w:val="nil"/>
              <w:bottom w:val="single" w:color="auto" w:sz="4" w:space="0"/>
              <w:right w:val="single" w:color="auto" w:sz="4" w:space="0"/>
            </w:tcBorders>
            <w:shd w:val="clear" w:color="auto" w:fill="auto"/>
            <w:tcMar>
              <w:left w:w="108" w:type="dxa"/>
              <w:right w:w="108" w:type="dxa"/>
            </w:tcMar>
            <w:vAlign w:val="top"/>
          </w:tcPr>
          <w:p w14:paraId="0C905233">
            <w:pPr>
              <w:widowControl/>
              <w:jc w:val="left"/>
              <w:rPr>
                <w:rFonts w:hint="eastAsia" w:ascii="宋体" w:hAnsiTheme="minorHAnsi" w:eastAsiaTheme="minorEastAsia" w:cstheme="minorBidi"/>
                <w:kern w:val="0"/>
                <w:sz w:val="24"/>
                <w:szCs w:val="24"/>
                <w:lang w:bidi="ar"/>
              </w:rPr>
            </w:pPr>
          </w:p>
        </w:tc>
        <w:tc>
          <w:tcPr>
            <w:tcW w:w="0" w:type="auto"/>
            <w:vMerge w:val="continue"/>
            <w:tcBorders>
              <w:top w:val="nil"/>
              <w:left w:val="nil"/>
              <w:bottom w:val="single" w:color="auto" w:sz="4" w:space="0"/>
              <w:right w:val="single" w:color="auto" w:sz="4" w:space="0"/>
            </w:tcBorders>
            <w:shd w:val="clear" w:color="auto" w:fill="auto"/>
            <w:tcMar>
              <w:left w:w="108" w:type="dxa"/>
              <w:right w:w="108" w:type="dxa"/>
            </w:tcMar>
            <w:vAlign w:val="top"/>
          </w:tcPr>
          <w:p w14:paraId="3C6112B1">
            <w:pPr>
              <w:widowControl/>
              <w:jc w:val="left"/>
              <w:rPr>
                <w:rFonts w:hint="eastAsia" w:ascii="宋体" w:hAnsiTheme="minorHAnsi" w:eastAsiaTheme="minorEastAsia" w:cstheme="minorBidi"/>
                <w:kern w:val="0"/>
                <w:sz w:val="24"/>
                <w:szCs w:val="24"/>
                <w:lang w:bidi="ar"/>
              </w:rPr>
            </w:pPr>
          </w:p>
        </w:tc>
        <w:tc>
          <w:tcPr>
            <w:tcW w:w="0" w:type="auto"/>
            <w:vMerge w:val="continue"/>
            <w:tcBorders>
              <w:top w:val="nil"/>
              <w:left w:val="nil"/>
              <w:bottom w:val="single" w:color="auto" w:sz="4" w:space="0"/>
              <w:right w:val="single" w:color="auto" w:sz="4" w:space="0"/>
            </w:tcBorders>
            <w:shd w:val="clear" w:color="auto" w:fill="auto"/>
            <w:tcMar>
              <w:left w:w="108" w:type="dxa"/>
              <w:right w:w="108" w:type="dxa"/>
            </w:tcMar>
            <w:vAlign w:val="top"/>
          </w:tcPr>
          <w:p w14:paraId="6AA04A84">
            <w:pPr>
              <w:widowControl/>
              <w:jc w:val="left"/>
              <w:rPr>
                <w:rFonts w:hint="eastAsia" w:ascii="宋体" w:hAnsiTheme="minorHAnsi" w:eastAsiaTheme="minorEastAsia" w:cstheme="minorBidi"/>
                <w:kern w:val="0"/>
                <w:sz w:val="24"/>
                <w:szCs w:val="24"/>
                <w:lang w:bidi="ar"/>
              </w:rPr>
            </w:pP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3EC9A7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结果维持</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643D0C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结果纠正</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0E892C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其他结果</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450540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尚未审结</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377387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总计</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451EFF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结果维持</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245C86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结果纠正</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6622D8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其他结果</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3CB76E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尚未审结</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5454AD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总计</w:t>
            </w:r>
          </w:p>
        </w:tc>
      </w:tr>
      <w:tr w14:paraId="23506B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auto" w:sz="4" w:space="0"/>
              <w:bottom w:val="single" w:color="auto" w:sz="4" w:space="0"/>
              <w:right w:val="single" w:color="auto" w:sz="4" w:space="0"/>
            </w:tcBorders>
            <w:shd w:val="clear" w:color="auto" w:fill="auto"/>
            <w:tcMar>
              <w:left w:w="108" w:type="dxa"/>
              <w:right w:w="108" w:type="dxa"/>
            </w:tcMar>
            <w:vAlign w:val="top"/>
          </w:tcPr>
          <w:p w14:paraId="060FDE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31548B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142394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03F41C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1FF467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1B490F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6CB10B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5DDD81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367922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2FA378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4CCCE9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76046E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04FDF8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7483D3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w:t>
            </w:r>
          </w:p>
        </w:tc>
        <w:tc>
          <w:tcPr>
            <w:tcW w:w="0" w:type="auto"/>
            <w:tcBorders>
              <w:top w:val="nil"/>
              <w:left w:val="nil"/>
              <w:bottom w:val="single" w:color="auto" w:sz="4" w:space="0"/>
              <w:right w:val="single" w:color="auto" w:sz="4" w:space="0"/>
            </w:tcBorders>
            <w:shd w:val="clear" w:color="auto" w:fill="auto"/>
            <w:tcMar>
              <w:left w:w="108" w:type="dxa"/>
              <w:right w:w="108" w:type="dxa"/>
            </w:tcMar>
            <w:vAlign w:val="top"/>
          </w:tcPr>
          <w:p w14:paraId="13397B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480"/>
              <w:jc w:val="both"/>
              <w:rPr>
                <w:rFonts w:hint="default" w:ascii="Calibri" w:hAnsi="Calibri" w:cs="Calibri" w:eastAsiaTheme="minorEastAsia"/>
                <w:kern w:val="0"/>
                <w:sz w:val="21"/>
                <w:szCs w:val="21"/>
                <w:lang w:val="en-US" w:eastAsia="zh-CN" w:bidi="ar"/>
              </w:rPr>
            </w:pPr>
            <w:r>
              <w:rPr>
                <w:rFonts w:hint="eastAsia" w:ascii="仿宋" w:hAnsi="仿宋" w:eastAsia="仿宋" w:cs="仿宋"/>
                <w:color w:val="333333"/>
                <w:kern w:val="0"/>
                <w:sz w:val="24"/>
                <w:szCs w:val="24"/>
                <w:shd w:val="clear" w:fill="FFFFFF"/>
                <w:lang w:val="en-US" w:eastAsia="zh-CN" w:bidi="ar"/>
              </w:rPr>
              <w:t>0 </w:t>
            </w:r>
          </w:p>
        </w:tc>
      </w:tr>
    </w:tbl>
    <w:p w14:paraId="22E10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黑体" w:hAnsi="宋体" w:eastAsia="黑体" w:cs="黑体"/>
          <w:i w:val="0"/>
          <w:iCs w:val="0"/>
          <w:caps w:val="0"/>
          <w:color w:val="333333"/>
          <w:spacing w:val="0"/>
          <w:kern w:val="0"/>
          <w:sz w:val="32"/>
          <w:szCs w:val="32"/>
          <w:shd w:val="clear" w:fill="FFFFFF"/>
          <w:lang w:val="en-US" w:eastAsia="zh-CN" w:bidi="ar"/>
        </w:rPr>
      </w:pPr>
    </w:p>
    <w:p w14:paraId="4394BDC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存在的主要问题及改进情况</w:t>
      </w:r>
    </w:p>
    <w:p w14:paraId="138A1B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Calibri" w:eastAsia="仿宋_GB2312" w:cs="仿宋_GB2312"/>
          <w:i w:val="0"/>
          <w:iCs w:val="0"/>
          <w:caps w:val="0"/>
          <w:color w:val="000000"/>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上年度，</w:t>
      </w:r>
      <w:r>
        <w:rPr>
          <w:rFonts w:hint="eastAsia" w:ascii="仿宋_GB2312" w:hAnsi="Calibri" w:eastAsia="仿宋_GB2312" w:cs="仿宋_GB2312"/>
          <w:i w:val="0"/>
          <w:iCs w:val="0"/>
          <w:caps w:val="0"/>
          <w:color w:val="000000"/>
          <w:spacing w:val="0"/>
          <w:sz w:val="32"/>
          <w:szCs w:val="32"/>
          <w:shd w:val="clear" w:fill="FFFFFF"/>
        </w:rPr>
        <w:t>我局的政府信息公开工作存在以下一些问题：一方面是对政府信息公开的重要性认识不足，主动公开意识还需进一步提升；另一方面是信息公开资料的归集、审核机制还有待进一步加强。在今年政务公开工作中</w:t>
      </w:r>
      <w:r>
        <w:rPr>
          <w:rFonts w:hint="eastAsia" w:ascii="仿宋" w:hAnsi="仿宋" w:eastAsia="仿宋" w:cs="仿宋"/>
          <w:i w:val="0"/>
          <w:iCs w:val="0"/>
          <w:caps w:val="0"/>
          <w:color w:val="333333"/>
          <w:spacing w:val="0"/>
          <w:sz w:val="32"/>
          <w:szCs w:val="32"/>
          <w:shd w:val="clear" w:fill="FFFFFF"/>
          <w:lang w:eastAsia="zh-CN"/>
        </w:rPr>
        <w:t>，一方面我局</w:t>
      </w:r>
      <w:r>
        <w:rPr>
          <w:rFonts w:hint="eastAsia" w:ascii="仿宋_GB2312" w:hAnsi="Calibri" w:eastAsia="仿宋_GB2312" w:cs="仿宋_GB2312"/>
          <w:i w:val="0"/>
          <w:iCs w:val="0"/>
          <w:caps w:val="0"/>
          <w:color w:val="000000"/>
          <w:spacing w:val="0"/>
          <w:sz w:val="32"/>
          <w:szCs w:val="32"/>
          <w:shd w:val="clear" w:fill="FFFFFF"/>
        </w:rPr>
        <w:t>通过加强政务公开工作宣传教育，组织全局干部学习《中华人民共和国政府信息公开条例》，</w:t>
      </w:r>
      <w:r>
        <w:rPr>
          <w:rFonts w:hint="eastAsia" w:ascii="仿宋" w:hAnsi="仿宋" w:eastAsia="仿宋" w:cs="仿宋"/>
          <w:i w:val="0"/>
          <w:iCs w:val="0"/>
          <w:caps w:val="0"/>
          <w:color w:val="333333"/>
          <w:spacing w:val="0"/>
          <w:sz w:val="32"/>
          <w:szCs w:val="32"/>
          <w:shd w:val="clear" w:fill="FFFFFF"/>
          <w:lang w:eastAsia="zh-CN"/>
        </w:rPr>
        <w:t>通过</w:t>
      </w:r>
      <w:r>
        <w:rPr>
          <w:rFonts w:hint="eastAsia" w:ascii="仿宋_GB2312" w:hAnsi="Calibri" w:eastAsia="仿宋_GB2312" w:cs="仿宋_GB2312"/>
          <w:i w:val="0"/>
          <w:iCs w:val="0"/>
          <w:caps w:val="0"/>
          <w:color w:val="000000"/>
          <w:spacing w:val="0"/>
          <w:sz w:val="32"/>
          <w:szCs w:val="32"/>
          <w:shd w:val="clear" w:fill="FFFFFF"/>
        </w:rPr>
        <w:t>主动和其他机关信息公开工作人员交流学习，全局干部信息公开意识明显增强。</w:t>
      </w:r>
      <w:r>
        <w:rPr>
          <w:rFonts w:hint="eastAsia" w:ascii="仿宋_GB2312" w:hAnsi="Calibri" w:eastAsia="仿宋_GB2312" w:cs="仿宋_GB2312"/>
          <w:i w:val="0"/>
          <w:iCs w:val="0"/>
          <w:caps w:val="0"/>
          <w:color w:val="000000"/>
          <w:spacing w:val="0"/>
          <w:sz w:val="32"/>
          <w:szCs w:val="32"/>
          <w:shd w:val="clear" w:fill="FFFFFF"/>
          <w:lang w:eastAsia="zh-CN"/>
        </w:rPr>
        <w:t>另一方面我局</w:t>
      </w:r>
      <w:r>
        <w:rPr>
          <w:rFonts w:hint="eastAsia" w:ascii="仿宋_GB2312" w:hAnsi="Calibri" w:eastAsia="仿宋_GB2312" w:cs="仿宋_GB2312"/>
          <w:i w:val="0"/>
          <w:iCs w:val="0"/>
          <w:caps w:val="0"/>
          <w:color w:val="000000"/>
          <w:spacing w:val="0"/>
          <w:sz w:val="32"/>
          <w:szCs w:val="32"/>
          <w:shd w:val="clear" w:fill="FFFFFF"/>
        </w:rPr>
        <w:t>发布的所有信息都经过严格的“三级审核”和保密审查各项要求进一步规范编发秩序和编发行为，确保公开信息准确、严谨，有效提升信息公开质量。</w:t>
      </w:r>
    </w:p>
    <w:p w14:paraId="4FC8D7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_GB2312" w:hAnsi="微软雅黑" w:eastAsia="仿宋_GB2312" w:cs="仿宋_GB2312"/>
          <w:i w:val="0"/>
          <w:iCs w:val="0"/>
          <w:caps w:val="0"/>
          <w:color w:val="333333"/>
          <w:spacing w:val="0"/>
          <w:sz w:val="32"/>
          <w:szCs w:val="32"/>
          <w:shd w:val="clear" w:fill="FFFFFF"/>
          <w:lang w:eastAsia="zh-CN"/>
        </w:rPr>
      </w:pPr>
      <w:r>
        <w:rPr>
          <w:rFonts w:hint="default" w:ascii="Times New Roman" w:hAnsi="Times New Roman" w:cs="Times New Roman"/>
          <w:i w:val="0"/>
          <w:caps w:val="0"/>
          <w:color w:val="000000"/>
          <w:spacing w:val="0"/>
          <w:sz w:val="32"/>
          <w:szCs w:val="32"/>
          <w:shd w:val="clear" w:color="auto" w:fill="FFFFFF"/>
        </w:rPr>
        <w:t>202</w:t>
      </w:r>
      <w:r>
        <w:rPr>
          <w:rFonts w:hint="eastAsia" w:ascii="Times New Roman" w:hAnsi="Times New Roman" w:cs="Times New Roman"/>
          <w:i w:val="0"/>
          <w:caps w:val="0"/>
          <w:color w:val="000000"/>
          <w:spacing w:val="0"/>
          <w:sz w:val="32"/>
          <w:szCs w:val="32"/>
          <w:shd w:val="clear" w:color="auto" w:fill="FFFFFF"/>
          <w:lang w:val="en-US" w:eastAsia="zh-CN"/>
        </w:rPr>
        <w:t>4</w:t>
      </w:r>
      <w:r>
        <w:rPr>
          <w:rFonts w:hint="eastAsia" w:ascii="仿宋_GB2312" w:hAnsi="Times New Roman" w:eastAsia="仿宋_GB2312" w:cs="仿宋_GB2312"/>
          <w:i w:val="0"/>
          <w:caps w:val="0"/>
          <w:color w:val="000000"/>
          <w:spacing w:val="0"/>
          <w:sz w:val="32"/>
          <w:szCs w:val="32"/>
          <w:shd w:val="clear" w:color="auto" w:fill="FFFFFF"/>
        </w:rPr>
        <w:t>年度存在问题：</w:t>
      </w:r>
      <w:r>
        <w:rPr>
          <w:rFonts w:hint="eastAsia" w:ascii="仿宋_GB2312" w:hAnsi="Times New Roman" w:eastAsia="仿宋_GB2312" w:cs="仿宋_GB2312"/>
          <w:i w:val="0"/>
          <w:caps w:val="0"/>
          <w:color w:val="000000"/>
          <w:spacing w:val="0"/>
          <w:sz w:val="32"/>
          <w:szCs w:val="32"/>
          <w:shd w:val="clear" w:color="auto" w:fill="FFFFFF"/>
          <w:lang w:eastAsia="zh-CN"/>
        </w:rPr>
        <w:t>一是部分栏目格式规范化程度不够统一，</w:t>
      </w:r>
      <w:r>
        <w:rPr>
          <w:rFonts w:hint="eastAsia" w:ascii="仿宋_GB2312" w:hAnsi="微软雅黑" w:eastAsia="仿宋_GB2312" w:cs="仿宋_GB2312"/>
          <w:i w:val="0"/>
          <w:iCs w:val="0"/>
          <w:caps w:val="0"/>
          <w:color w:val="333333"/>
          <w:spacing w:val="0"/>
          <w:sz w:val="32"/>
          <w:szCs w:val="32"/>
          <w:shd w:val="clear" w:fill="FFFFFF"/>
        </w:rPr>
        <w:t>未能及时</w:t>
      </w:r>
      <w:r>
        <w:rPr>
          <w:rFonts w:hint="eastAsia" w:ascii="仿宋_GB2312" w:hAnsi="微软雅黑" w:eastAsia="仿宋_GB2312" w:cs="仿宋_GB2312"/>
          <w:i w:val="0"/>
          <w:iCs w:val="0"/>
          <w:caps w:val="0"/>
          <w:color w:val="333333"/>
          <w:spacing w:val="0"/>
          <w:sz w:val="32"/>
          <w:szCs w:val="32"/>
          <w:shd w:val="clear" w:fill="FFFFFF"/>
          <w:lang w:eastAsia="zh-CN"/>
        </w:rPr>
        <w:t>调整；二是公开内容不尽全面，未能做到及时有效更新。</w:t>
      </w:r>
    </w:p>
    <w:p w14:paraId="1A1001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sz w:val="32"/>
          <w:szCs w:val="32"/>
          <w:shd w:val="clear" w:fill="FFFFFF"/>
        </w:rPr>
        <w:t>下一步，我局将紧密结合</w:t>
      </w:r>
      <w:r>
        <w:rPr>
          <w:rFonts w:hint="eastAsia" w:ascii="仿宋_GB2312" w:hAnsi="Calibri" w:eastAsia="仿宋_GB2312" w:cs="仿宋_GB2312"/>
          <w:i w:val="0"/>
          <w:iCs w:val="0"/>
          <w:caps w:val="0"/>
          <w:color w:val="000000"/>
          <w:spacing w:val="0"/>
          <w:sz w:val="32"/>
          <w:szCs w:val="32"/>
          <w:shd w:val="clear" w:fill="FFFFFF"/>
          <w:lang w:eastAsia="zh-CN"/>
        </w:rPr>
        <w:t>科技</w:t>
      </w:r>
      <w:r>
        <w:rPr>
          <w:rFonts w:hint="eastAsia" w:ascii="仿宋_GB2312" w:hAnsi="Calibri" w:eastAsia="仿宋_GB2312" w:cs="仿宋_GB2312"/>
          <w:i w:val="0"/>
          <w:iCs w:val="0"/>
          <w:caps w:val="0"/>
          <w:color w:val="000000"/>
          <w:spacing w:val="0"/>
          <w:sz w:val="32"/>
          <w:szCs w:val="32"/>
          <w:shd w:val="clear" w:fill="FFFFFF"/>
        </w:rPr>
        <w:t>工作实际，进一步拓展政务公开广度深度，推进我局政务公开工作再上新台阶。</w:t>
      </w:r>
      <w:r>
        <w:rPr>
          <w:rFonts w:hint="eastAsia" w:ascii="仿宋_GB2312" w:hAnsi="Calibri" w:eastAsia="仿宋_GB2312" w:cs="仿宋_GB2312"/>
          <w:i w:val="0"/>
          <w:iCs w:val="0"/>
          <w:caps w:val="0"/>
          <w:color w:val="000000"/>
          <w:spacing w:val="0"/>
          <w:sz w:val="32"/>
          <w:szCs w:val="32"/>
          <w:shd w:val="clear" w:fill="FFFFFF"/>
          <w:lang w:eastAsia="zh-CN"/>
        </w:rPr>
        <w:t>一方面严格根据文件格式要求对文件网页版、下载版格式进行修改，确保已公开文件符合要求。按月开展错敏词、错链、个人隐私问题的自查及整改工作。另一方面加强与其他股室之间的密切协作，提高信息公开的时效性，强化政务舆情回应，确保在应对重大突发事件及社会热点事件时不失声、不缺位，进一步有效提升公共企事业单位信息公开的水平。</w:t>
      </w:r>
    </w:p>
    <w:p w14:paraId="6D77C3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eastAsia="宋体" w:cs="Times New Roman"/>
          <w:i w:val="0"/>
          <w:caps w:val="0"/>
          <w:color w:val="000000"/>
          <w:spacing w:val="0"/>
          <w:kern w:val="0"/>
          <w:sz w:val="21"/>
          <w:szCs w:val="21"/>
          <w:lang w:val="en-US" w:eastAsia="zh-CN" w:bidi="ar"/>
        </w:rPr>
      </w:pPr>
      <w:r>
        <w:rPr>
          <w:rFonts w:hint="eastAsia" w:ascii="黑体" w:hAnsi="宋体" w:eastAsia="黑体" w:cs="黑体"/>
          <w:i w:val="0"/>
          <w:caps w:val="0"/>
          <w:color w:val="000000"/>
          <w:spacing w:val="0"/>
          <w:kern w:val="0"/>
          <w:sz w:val="32"/>
          <w:szCs w:val="32"/>
          <w:shd w:val="clear" w:color="auto" w:fill="FFFFFF"/>
          <w:lang w:val="en-US" w:eastAsia="zh-CN" w:bidi="ar"/>
        </w:rPr>
        <w:t>六、其他需要报告的事项</w:t>
      </w:r>
    </w:p>
    <w:p w14:paraId="55C5E1F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ascii="Calibri" w:hAnsi="Calibri" w:eastAsia="宋体" w:cs="Times New Roman"/>
          <w:kern w:val="0"/>
          <w:sz w:val="24"/>
          <w:szCs w:val="24"/>
          <w:lang w:val="en-US" w:eastAsia="zh-CN" w:bidi="ar"/>
        </w:rPr>
      </w:pP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按照《国务院办公厅关于印发〈政府信息公开信息处理费管理办法〉的通知》（国办函〔</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2020</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109</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号）规定的按件、按量收费标准，本年度没有产生信息公开处理费。</w:t>
      </w:r>
    </w:p>
    <w:p w14:paraId="35A0BC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640" w:leftChars="0" w:right="0" w:rightChars="0"/>
        <w:jc w:val="both"/>
        <w:rPr>
          <w:rFonts w:hint="default" w:ascii="黑体" w:hAnsi="宋体" w:eastAsia="黑体" w:cs="黑体"/>
          <w:i w:val="0"/>
          <w:iCs w:val="0"/>
          <w:caps w:val="0"/>
          <w:color w:val="333333"/>
          <w:spacing w:val="0"/>
          <w:kern w:val="0"/>
          <w:sz w:val="32"/>
          <w:szCs w:val="32"/>
          <w:shd w:val="clear" w:fill="FFFFFF"/>
          <w:lang w:val="en-US" w:eastAsia="zh-CN" w:bidi="ar"/>
        </w:rPr>
      </w:pPr>
    </w:p>
    <w:p w14:paraId="5313BF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both"/>
        <w:rPr>
          <w:rFonts w:hint="default" w:ascii="仿宋_GB2312" w:hAnsi="Calibri" w:eastAsia="仿宋_GB2312" w:cs="仿宋_GB2312"/>
          <w:i w:val="0"/>
          <w:iCs w:val="0"/>
          <w:caps w:val="0"/>
          <w:color w:val="333333"/>
          <w:spacing w:val="0"/>
          <w:sz w:val="32"/>
          <w:szCs w:val="32"/>
          <w:shd w:val="clear" w:fill="FFFFFF"/>
        </w:rPr>
      </w:pPr>
    </w:p>
    <w:p w14:paraId="29CCD6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pPr>
    </w:p>
    <w:p w14:paraId="20F926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eastAsia" w:ascii="仿宋_GB2312" w:hAnsi="Calibri" w:eastAsia="仿宋_GB2312" w:cs="仿宋_GB2312"/>
          <w:i w:val="0"/>
          <w:iCs w:val="0"/>
          <w:caps w:val="0"/>
          <w:color w:val="000000"/>
          <w:spacing w:val="0"/>
          <w:sz w:val="32"/>
          <w:szCs w:val="32"/>
          <w:shd w:val="clear" w:fill="FFFFFF"/>
        </w:rPr>
      </w:pPr>
    </w:p>
    <w:p w14:paraId="72B7440B"/>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E9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77208">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077208">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71DB8"/>
    <w:multiLevelType w:val="singleLevel"/>
    <w:tmpl w:val="55971DB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F78BD"/>
    <w:rsid w:val="02251150"/>
    <w:rsid w:val="02810A7C"/>
    <w:rsid w:val="030D28D4"/>
    <w:rsid w:val="031F3DF1"/>
    <w:rsid w:val="04054754"/>
    <w:rsid w:val="04E47CF4"/>
    <w:rsid w:val="0731108F"/>
    <w:rsid w:val="073D6BDD"/>
    <w:rsid w:val="082C3238"/>
    <w:rsid w:val="08406CE4"/>
    <w:rsid w:val="08D35DAA"/>
    <w:rsid w:val="094736CB"/>
    <w:rsid w:val="09DA6CC4"/>
    <w:rsid w:val="0AF85654"/>
    <w:rsid w:val="0B462863"/>
    <w:rsid w:val="0D307327"/>
    <w:rsid w:val="0DDB70DA"/>
    <w:rsid w:val="0E4D5CB6"/>
    <w:rsid w:val="0E8B36A1"/>
    <w:rsid w:val="0F227D2C"/>
    <w:rsid w:val="0F231E64"/>
    <w:rsid w:val="0F7D081D"/>
    <w:rsid w:val="102B0279"/>
    <w:rsid w:val="10521CAA"/>
    <w:rsid w:val="11734130"/>
    <w:rsid w:val="12843C71"/>
    <w:rsid w:val="16850783"/>
    <w:rsid w:val="16A86180"/>
    <w:rsid w:val="16BF34C9"/>
    <w:rsid w:val="18B136AD"/>
    <w:rsid w:val="18E02E71"/>
    <w:rsid w:val="1A534654"/>
    <w:rsid w:val="1B495A57"/>
    <w:rsid w:val="1DA74544"/>
    <w:rsid w:val="1FA6791C"/>
    <w:rsid w:val="204D70F7"/>
    <w:rsid w:val="20C938C2"/>
    <w:rsid w:val="20CC5161"/>
    <w:rsid w:val="21824088"/>
    <w:rsid w:val="239F78BD"/>
    <w:rsid w:val="245931AF"/>
    <w:rsid w:val="246D6C5B"/>
    <w:rsid w:val="25381017"/>
    <w:rsid w:val="26FB054E"/>
    <w:rsid w:val="285F4B0C"/>
    <w:rsid w:val="2A946CEF"/>
    <w:rsid w:val="2E960B5C"/>
    <w:rsid w:val="33A65CE5"/>
    <w:rsid w:val="33DF6B01"/>
    <w:rsid w:val="375C6DE7"/>
    <w:rsid w:val="3AB03D58"/>
    <w:rsid w:val="3B6E2E78"/>
    <w:rsid w:val="3BEB0739"/>
    <w:rsid w:val="3CC80A7A"/>
    <w:rsid w:val="3DF17B5D"/>
    <w:rsid w:val="40512B35"/>
    <w:rsid w:val="41FF4F3E"/>
    <w:rsid w:val="425A3F23"/>
    <w:rsid w:val="42DF08CC"/>
    <w:rsid w:val="43221DE4"/>
    <w:rsid w:val="43346E69"/>
    <w:rsid w:val="43DB1093"/>
    <w:rsid w:val="44446C38"/>
    <w:rsid w:val="449B0822"/>
    <w:rsid w:val="45464C32"/>
    <w:rsid w:val="46F801AE"/>
    <w:rsid w:val="4796338B"/>
    <w:rsid w:val="48CE11C6"/>
    <w:rsid w:val="49240875"/>
    <w:rsid w:val="4AC9433B"/>
    <w:rsid w:val="4AF50C0D"/>
    <w:rsid w:val="4B865D88"/>
    <w:rsid w:val="4CEA67EB"/>
    <w:rsid w:val="4D602609"/>
    <w:rsid w:val="4DB34E2F"/>
    <w:rsid w:val="526E7576"/>
    <w:rsid w:val="53DF24DA"/>
    <w:rsid w:val="545D5AF4"/>
    <w:rsid w:val="54BA6AA3"/>
    <w:rsid w:val="575F0C24"/>
    <w:rsid w:val="58886A10"/>
    <w:rsid w:val="59C12681"/>
    <w:rsid w:val="59E36A9C"/>
    <w:rsid w:val="5B6B0AF7"/>
    <w:rsid w:val="5C3B671B"/>
    <w:rsid w:val="5CC76201"/>
    <w:rsid w:val="5F9A19AB"/>
    <w:rsid w:val="62F87114"/>
    <w:rsid w:val="63AE1EC8"/>
    <w:rsid w:val="63C60FC0"/>
    <w:rsid w:val="63CB65D6"/>
    <w:rsid w:val="65D5198E"/>
    <w:rsid w:val="66611474"/>
    <w:rsid w:val="681C17BA"/>
    <w:rsid w:val="6848469A"/>
    <w:rsid w:val="6BE50C3B"/>
    <w:rsid w:val="6D1D4911"/>
    <w:rsid w:val="6E867CCA"/>
    <w:rsid w:val="6F1C418A"/>
    <w:rsid w:val="71FA52BA"/>
    <w:rsid w:val="733046A8"/>
    <w:rsid w:val="73B1109E"/>
    <w:rsid w:val="74923F86"/>
    <w:rsid w:val="7641097A"/>
    <w:rsid w:val="76AD7DBE"/>
    <w:rsid w:val="79556C16"/>
    <w:rsid w:val="797F5A41"/>
    <w:rsid w:val="7AF95CC7"/>
    <w:rsid w:val="7CA852AF"/>
    <w:rsid w:val="7D1B1F25"/>
    <w:rsid w:val="7D990594"/>
    <w:rsid w:val="7DBA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2502</Words>
  <Characters>2544</Characters>
  <Lines>0</Lines>
  <Paragraphs>0</Paragraphs>
  <TotalTime>4</TotalTime>
  <ScaleCrop>false</ScaleCrop>
  <LinksUpToDate>false</LinksUpToDate>
  <CharactersWithSpaces>2545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2024-12-19T00:29:00Z</dcterms:created>
  <dc:creator>科技局科协收文员</dc:creator>
  <cp:lastModifiedBy>科技局科协收文员</cp:lastModifiedBy>
  <dcterms:modified xsi:type="dcterms:W3CDTF">2025-01-13T08:27:57Z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5D2554050ECF447CACB75F7AFD3635E6_13</vt:lpwstr>
  </property>
  <property fmtid="{D5CDD505-2E9C-101B-9397-08002B2CF9AE}" pid="4" name="KSOTemplateDocerSaveRecord">
    <vt:lpwstr>eyJoZGlkIjoiNjRiNjJiMTY2OThiMzEyNTJlMDlmM2I5YzEwNWE1OTQiLCJ1c2VySWQiOiIxMTI3MjQ4NDk4In0=</vt:lpwstr>
  </property>
</Properties>
</file>