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adjustRightInd/>
        <w:snapToGrid/>
        <w:spacing w:after="300" w:line="400" w:lineRule="atLeast"/>
        <w:jc w:val="center"/>
        <w:outlineLvl w:val="0"/>
        <w:rPr>
          <w:rFonts w:hint="eastAsia" w:ascii="方正小标宋简体" w:hAnsi="微软雅黑" w:eastAsia="方正小标宋简体" w:cs="宋体"/>
          <w:bCs/>
          <w:color w:val="333333"/>
          <w:kern w:val="36"/>
          <w:sz w:val="44"/>
          <w:szCs w:val="44"/>
        </w:rPr>
      </w:pPr>
      <w:bookmarkStart w:id="0" w:name="OLE_LINK9"/>
      <w:r>
        <w:rPr>
          <w:rFonts w:hint="eastAsia" w:ascii="方正小标宋简体" w:hAnsi="微软雅黑" w:eastAsia="方正小标宋简体" w:cs="宋体"/>
          <w:bCs/>
          <w:color w:val="333333"/>
          <w:kern w:val="36"/>
          <w:sz w:val="44"/>
          <w:szCs w:val="44"/>
        </w:rPr>
        <w:t>金安区应急管理局2020年政府信息公开工作年度报告</w:t>
      </w:r>
    </w:p>
    <w:p>
      <w:pPr>
        <w:shd w:val="clear" w:color="auto" w:fill="FFFFFF"/>
        <w:adjustRightInd/>
        <w:snapToGrid/>
        <w:spacing w:after="0" w:line="480" w:lineRule="auto"/>
        <w:ind w:firstLine="640"/>
        <w:jc w:val="both"/>
        <w:rPr>
          <w:rFonts w:hint="eastAsia" w:ascii="微软雅黑" w:hAnsi="微软雅黑" w:cs="宋体"/>
          <w:color w:val="666666"/>
          <w:sz w:val="14"/>
        </w:rPr>
      </w:pP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仿宋" w:eastAsia="方正仿宋_GBK" w:cs="宋体"/>
          <w:color w:val="333333"/>
          <w:sz w:val="32"/>
          <w:szCs w:val="32"/>
        </w:rPr>
        <w:t>我局根据新修订《中华人民共和国政府信息公开条例》（以下简称《条例》），结合上级有关文件精神等要求，编制2020年度六安市金安区应急管理局信息公开年度报告。全文包括总体情况、主动公开政府信息情况、收到和处理政府信息公开申请情况、政府信息公开行政复议、行政诉讼情况、存在的主要问题和改进情况及其他需要报告的事项组成。本年度报告中使用数据统计期限为2020年1月1日至2020年12月31日，报告电子版可在六安市金安区应急管理局信息公开平台下载。如对本报告有任何疑问，请与六安市金安区应急管理局联系（地址：金安区政府行政中心办公楼五楼521室。邮编：237000；电话：0564—3261067。传真：0564-3261180。）</w:t>
      </w:r>
    </w:p>
    <w:p>
      <w:pPr>
        <w:shd w:val="clear" w:color="auto" w:fill="FFFFFF"/>
        <w:adjustRightInd/>
        <w:snapToGrid/>
        <w:spacing w:after="0" w:line="590" w:lineRule="exact"/>
        <w:ind w:firstLine="640"/>
        <w:jc w:val="both"/>
        <w:rPr>
          <w:rFonts w:hint="eastAsia" w:ascii="方正黑体_GBK" w:hAnsi="仿宋" w:eastAsia="方正黑体_GBK" w:cs="宋体"/>
          <w:bCs/>
          <w:color w:val="333333"/>
          <w:sz w:val="32"/>
          <w:szCs w:val="32"/>
        </w:rPr>
      </w:pPr>
      <w:r>
        <w:rPr>
          <w:rFonts w:hint="eastAsia" w:ascii="方正黑体_GBK" w:hAnsi="仿宋" w:eastAsia="方正黑体_GBK" w:cs="宋体"/>
          <w:bCs/>
          <w:color w:val="333333"/>
          <w:sz w:val="32"/>
          <w:szCs w:val="32"/>
        </w:rPr>
        <w:t>一、总体情况</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仿宋" w:eastAsia="方正仿宋_GBK" w:cs="宋体"/>
          <w:color w:val="333333"/>
          <w:sz w:val="32"/>
          <w:szCs w:val="32"/>
        </w:rPr>
        <w:t>2020年，区应急管理局紧紧绕党和政府中心工作及群众关注关切，着力提升信息公开质量，加强安全生产政策解读和舆情回应工作，深化应急管理重点领域信息公开，完善信息公开制度规范，进一步提高行业治理能力，切实增强人民群众满意度、获得感，为促进全区安全生产工作持续健康发展和社会大局稳定发挥积极作用。</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楷体_GBK" w:hAnsi="仿宋" w:eastAsia="方正楷体_GBK" w:cs="宋体"/>
          <w:color w:val="333333"/>
          <w:sz w:val="32"/>
          <w:szCs w:val="32"/>
        </w:rPr>
        <w:t>（一）主动公开。</w:t>
      </w:r>
      <w:r>
        <w:rPr>
          <w:rFonts w:hint="eastAsia" w:ascii="方正仿宋_GBK" w:hAnsi="仿宋" w:eastAsia="方正仿宋_GBK" w:cs="宋体"/>
          <w:color w:val="333333"/>
          <w:sz w:val="32"/>
          <w:szCs w:val="32"/>
        </w:rPr>
        <w:t>我局积极落实政府信息公开工作要求，围绕工作动态、领导分工、公告通告、规章制度等涉及群众切实利益和社会需要广泛知晓的内容，在严格进行保密审查的基础上，及时、准确、全面地公开政府信息。把本部门政府信息公开网站平台列为</w:t>
      </w:r>
      <w:bookmarkStart w:id="1" w:name="_GoBack"/>
      <w:bookmarkEnd w:id="1"/>
      <w:r>
        <w:rPr>
          <w:rFonts w:hint="eastAsia" w:ascii="方正仿宋_GBK" w:hAnsi="仿宋" w:eastAsia="方正仿宋_GBK" w:cs="宋体"/>
          <w:color w:val="333333"/>
          <w:sz w:val="32"/>
          <w:szCs w:val="32"/>
        </w:rPr>
        <w:t>公开信息的重要途径之一，开设本部门职能专栏，及时将局有关信息公开在对应栏目。截止2020年，共发布政务动态信息更新54条，信息公开目录信息更新1648条，解读材料3篇，解读产品数14篇。</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楷体_GBK" w:hAnsi="仿宋" w:eastAsia="方正楷体_GBK" w:cs="宋体"/>
          <w:color w:val="333333"/>
          <w:sz w:val="32"/>
          <w:szCs w:val="32"/>
        </w:rPr>
        <w:t>（二）依申请公开。</w:t>
      </w:r>
      <w:r>
        <w:rPr>
          <w:rFonts w:hint="eastAsia" w:ascii="方正仿宋_GBK" w:hAnsi="仿宋" w:eastAsia="方正仿宋_GBK" w:cs="宋体"/>
          <w:color w:val="333333"/>
          <w:sz w:val="32"/>
          <w:szCs w:val="32"/>
        </w:rPr>
        <w:t>我局深入研究并妥善处理新情况、新问题，注意加强与申请人的主动沟通，做到依法有据、严谨规范、慎重稳妥。积极做好信息公开的各项工作，严格执行政府工作信息依申请公开标准，在信息公开网上开通了“依申请公开”栏目。2020年我局收到依申请公开申请事项2件，在规定时限内向申请人同意公开2件。</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楷体_GBK" w:hAnsi="仿宋" w:eastAsia="方正楷体_GBK" w:cs="宋体"/>
          <w:color w:val="333333"/>
          <w:sz w:val="32"/>
          <w:szCs w:val="32"/>
        </w:rPr>
        <w:t>（三）政府信息管理。</w:t>
      </w:r>
      <w:r>
        <w:rPr>
          <w:rFonts w:hint="eastAsia" w:ascii="方正仿宋_GBK" w:hAnsi="仿宋" w:eastAsia="方正仿宋_GBK" w:cs="宋体"/>
          <w:color w:val="333333"/>
          <w:sz w:val="32"/>
          <w:szCs w:val="32"/>
        </w:rPr>
        <w:t>一是加强领导、压实责任，明确局办公室两名副主任具体负责政府信息公开工作，为加强政府信息公开工作，夯实了组织保障基础，确保我局的政府信息公开工作顺利开展。二是完善工作流程、健全工作机制，进一步健全了信息公开工作机制和政务公开考核、保密、责任追究等各项制度，确保了信息公开工作规范有序运作。三是规范内容，提高政务信息质量。按照组织健全、制度严密、标准统一、运作规范的要求,公开的时间更加及时。针对公开项目的不同情况，确定公开时间，做到常规性工作定期公开，临时性工作随时公开，固定性工作长期公开。</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楷体_GBK" w:hAnsi="仿宋" w:eastAsia="方正楷体_GBK" w:cs="宋体"/>
          <w:color w:val="333333"/>
          <w:sz w:val="32"/>
          <w:szCs w:val="32"/>
        </w:rPr>
        <w:t>（四）平台建设方面。</w:t>
      </w:r>
      <w:r>
        <w:rPr>
          <w:rFonts w:hint="eastAsia" w:ascii="方正仿宋_GBK" w:hAnsi="仿宋" w:eastAsia="方正仿宋_GBK" w:cs="宋体"/>
          <w:color w:val="333333"/>
          <w:sz w:val="32"/>
          <w:szCs w:val="32"/>
        </w:rPr>
        <w:t>定期安排网站平台的维护、更新（有专人负责），配合做好上级安全评估和审查</w:t>
      </w:r>
      <w:r>
        <w:rPr>
          <w:rFonts w:hint="eastAsia" w:ascii="方正仿宋_GBK" w:hAnsi="仿宋" w:eastAsia="方正仿宋_GBK" w:cs="宋体"/>
          <w:color w:val="333333"/>
          <w:sz w:val="32"/>
          <w:szCs w:val="32"/>
          <w:lang w:eastAsia="zh-CN"/>
        </w:rPr>
        <w:t>，</w:t>
      </w:r>
      <w:r>
        <w:rPr>
          <w:rFonts w:hint="eastAsia" w:ascii="方正仿宋_GBK" w:hAnsi="仿宋" w:eastAsia="方正仿宋_GBK" w:cs="宋体"/>
          <w:color w:val="333333"/>
          <w:sz w:val="32"/>
          <w:szCs w:val="32"/>
        </w:rPr>
        <w:t>及时调整政务公开目录。强化网站建设，按照上级及区政务公开办工作要求，结合实际，扎实抓好政府信息公开平台管理、维护，实时调整我局政府信息公开平台栏目，高标准严要求。</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楷体_GBK" w:hAnsi="仿宋" w:eastAsia="方正楷体_GBK" w:cs="宋体"/>
          <w:color w:val="333333"/>
          <w:sz w:val="32"/>
          <w:szCs w:val="32"/>
        </w:rPr>
        <w:t>（五）监督保障方面。</w:t>
      </w:r>
      <w:r>
        <w:rPr>
          <w:rFonts w:hint="eastAsia" w:ascii="方正仿宋_GBK" w:hAnsi="仿宋" w:eastAsia="方正仿宋_GBK" w:cs="宋体"/>
          <w:color w:val="333333"/>
          <w:sz w:val="32"/>
          <w:szCs w:val="32"/>
        </w:rPr>
        <w:t>将政务公开列入局重点工作，责任细化到各股室单位，按月总结并统计工作进展情况，结合效能建设、电子政务等工作加以推进落实。坚持内部监督和社会监督相结合体系，对外公布投诉举报电话，推进人民群众监督和舆论监督，及时反馈群众呼声。</w:t>
      </w:r>
    </w:p>
    <w:p>
      <w:pPr>
        <w:shd w:val="clear" w:color="auto" w:fill="FFFFFF"/>
        <w:adjustRightInd/>
        <w:snapToGrid/>
        <w:spacing w:after="0" w:line="590" w:lineRule="exact"/>
        <w:ind w:firstLine="640"/>
        <w:jc w:val="both"/>
        <w:rPr>
          <w:rFonts w:hint="eastAsia" w:ascii="方正黑体_GBK" w:hAnsi="仿宋" w:eastAsia="方正黑体_GBK" w:cs="宋体"/>
          <w:bCs/>
          <w:color w:val="333333"/>
          <w:sz w:val="32"/>
          <w:szCs w:val="32"/>
        </w:rPr>
      </w:pPr>
      <w:r>
        <w:rPr>
          <w:rFonts w:hint="eastAsia" w:ascii="方正黑体_GBK" w:hAnsi="仿宋" w:eastAsia="方正黑体_GBK" w:cs="宋体"/>
          <w:bCs/>
          <w:color w:val="333333"/>
          <w:sz w:val="32"/>
          <w:szCs w:val="32"/>
        </w:rPr>
        <w:t>二、主动公开政府信息情况</w:t>
      </w:r>
    </w:p>
    <w:tbl>
      <w:tblPr>
        <w:tblStyle w:val="6"/>
        <w:tblW w:w="8817"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2706"/>
        <w:gridCol w:w="2157"/>
        <w:gridCol w:w="1976"/>
        <w:gridCol w:w="197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8817" w:type="dxa"/>
            <w:gridSpan w:val="4"/>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第二十条第(一)项</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信息内容</w:t>
            </w:r>
          </w:p>
        </w:tc>
        <w:tc>
          <w:tcPr>
            <w:tcW w:w="215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本年新制作数量</w:t>
            </w:r>
          </w:p>
        </w:tc>
        <w:tc>
          <w:tcPr>
            <w:tcW w:w="197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本年新公开数量</w:t>
            </w:r>
          </w:p>
        </w:tc>
        <w:tc>
          <w:tcPr>
            <w:tcW w:w="197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对外公开总数量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55"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规章</w:t>
            </w:r>
          </w:p>
        </w:tc>
        <w:tc>
          <w:tcPr>
            <w:tcW w:w="2157"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197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规范性文件</w:t>
            </w:r>
          </w:p>
        </w:tc>
        <w:tc>
          <w:tcPr>
            <w:tcW w:w="2157"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0</w:t>
            </w:r>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0</w:t>
            </w:r>
          </w:p>
        </w:tc>
        <w:tc>
          <w:tcPr>
            <w:tcW w:w="197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55" w:hRule="atLeast"/>
          <w:jc w:val="center"/>
        </w:trPr>
        <w:tc>
          <w:tcPr>
            <w:tcW w:w="8817" w:type="dxa"/>
            <w:gridSpan w:val="4"/>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第二十二条第(五)项</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信息内容</w:t>
            </w:r>
          </w:p>
        </w:tc>
        <w:tc>
          <w:tcPr>
            <w:tcW w:w="215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上一年项目数量</w:t>
            </w:r>
          </w:p>
        </w:tc>
        <w:tc>
          <w:tcPr>
            <w:tcW w:w="197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本年增/减</w:t>
            </w:r>
          </w:p>
        </w:tc>
        <w:tc>
          <w:tcPr>
            <w:tcW w:w="197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处理决定数量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55"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行政许可</w:t>
            </w:r>
          </w:p>
        </w:tc>
        <w:tc>
          <w:tcPr>
            <w:tcW w:w="2157"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2</w:t>
            </w:r>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197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其他对外管理服务事项</w:t>
            </w:r>
          </w:p>
        </w:tc>
        <w:tc>
          <w:tcPr>
            <w:tcW w:w="2157"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18</w:t>
            </w:r>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减5</w:t>
            </w:r>
          </w:p>
        </w:tc>
        <w:tc>
          <w:tcPr>
            <w:tcW w:w="197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3</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55" w:hRule="atLeast"/>
          <w:jc w:val="center"/>
        </w:trPr>
        <w:tc>
          <w:tcPr>
            <w:tcW w:w="8817" w:type="dxa"/>
            <w:gridSpan w:val="4"/>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第二十条第(六)项</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信息内容</w:t>
            </w:r>
          </w:p>
        </w:tc>
        <w:tc>
          <w:tcPr>
            <w:tcW w:w="215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上一年项目数量</w:t>
            </w:r>
          </w:p>
        </w:tc>
        <w:tc>
          <w:tcPr>
            <w:tcW w:w="197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本年增/减</w:t>
            </w:r>
          </w:p>
        </w:tc>
        <w:tc>
          <w:tcPr>
            <w:tcW w:w="197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处理决定数量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55"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行政处罚</w:t>
            </w:r>
          </w:p>
        </w:tc>
        <w:tc>
          <w:tcPr>
            <w:tcW w:w="2157"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103</w:t>
            </w:r>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center"/>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加2</w:t>
            </w:r>
          </w:p>
        </w:tc>
        <w:tc>
          <w:tcPr>
            <w:tcW w:w="197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4</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行政强制</w:t>
            </w:r>
          </w:p>
        </w:tc>
        <w:tc>
          <w:tcPr>
            <w:tcW w:w="2157"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3</w:t>
            </w:r>
          </w:p>
        </w:tc>
        <w:tc>
          <w:tcPr>
            <w:tcW w:w="197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Times New Roman" w:eastAsia="方正仿宋_GBK" w:cs="Times New Roman"/>
                <w:sz w:val="32"/>
                <w:szCs w:val="32"/>
              </w:rPr>
            </w:pPr>
            <w:r>
              <w:rPr>
                <w:rFonts w:hint="eastAsia" w:ascii="方正仿宋_GBK" w:hAnsi="仿宋" w:eastAsia="方正仿宋_GBK" w:cs="Times New Roman"/>
                <w:sz w:val="32"/>
                <w:szCs w:val="32"/>
              </w:rPr>
              <w:t>减1</w:t>
            </w:r>
          </w:p>
        </w:tc>
        <w:tc>
          <w:tcPr>
            <w:tcW w:w="197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55" w:hRule="atLeast"/>
          <w:jc w:val="center"/>
        </w:trPr>
        <w:tc>
          <w:tcPr>
            <w:tcW w:w="8817" w:type="dxa"/>
            <w:gridSpan w:val="4"/>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第二十条第(八)项</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信息内容</w:t>
            </w:r>
          </w:p>
        </w:tc>
        <w:tc>
          <w:tcPr>
            <w:tcW w:w="215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上一年项目数量</w:t>
            </w:r>
          </w:p>
        </w:tc>
        <w:tc>
          <w:tcPr>
            <w:tcW w:w="3954"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本年增/减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55"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行政事业性收费</w:t>
            </w:r>
          </w:p>
        </w:tc>
        <w:tc>
          <w:tcPr>
            <w:tcW w:w="2157"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3954"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8817" w:type="dxa"/>
            <w:gridSpan w:val="4"/>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第二十条第(九)项</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55"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信息内容</w:t>
            </w:r>
          </w:p>
        </w:tc>
        <w:tc>
          <w:tcPr>
            <w:tcW w:w="215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采购项目数量</w:t>
            </w:r>
          </w:p>
        </w:tc>
        <w:tc>
          <w:tcPr>
            <w:tcW w:w="3954"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采购总金额</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689" w:hRule="atLeast"/>
          <w:jc w:val="center"/>
        </w:trPr>
        <w:tc>
          <w:tcPr>
            <w:tcW w:w="270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政府集中采购</w:t>
            </w:r>
          </w:p>
        </w:tc>
        <w:tc>
          <w:tcPr>
            <w:tcW w:w="2157"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3954"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bl>
    <w:p>
      <w:pPr>
        <w:shd w:val="clear" w:color="auto" w:fill="FFFFFF"/>
        <w:adjustRightInd/>
        <w:snapToGrid/>
        <w:spacing w:after="0" w:line="590" w:lineRule="exact"/>
        <w:ind w:firstLine="640"/>
        <w:jc w:val="both"/>
        <w:rPr>
          <w:rFonts w:hint="eastAsia" w:ascii="方正黑体_GBK" w:hAnsi="仿宋" w:eastAsia="方正黑体_GBK" w:cs="宋体"/>
          <w:bCs/>
          <w:color w:val="333333"/>
          <w:sz w:val="32"/>
          <w:szCs w:val="32"/>
        </w:rPr>
      </w:pPr>
      <w:r>
        <w:rPr>
          <w:rFonts w:hint="eastAsia" w:ascii="方正黑体_GBK" w:hAnsi="仿宋" w:eastAsia="方正黑体_GBK" w:cs="宋体"/>
          <w:bCs/>
          <w:color w:val="333333"/>
          <w:sz w:val="32"/>
          <w:szCs w:val="32"/>
        </w:rPr>
        <w:t>三、收到和处理政府信息公开申请情况</w:t>
      </w:r>
    </w:p>
    <w:tbl>
      <w:tblPr>
        <w:tblStyle w:val="6"/>
        <w:tblW w:w="990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1010"/>
        <w:gridCol w:w="816"/>
        <w:gridCol w:w="893"/>
        <w:gridCol w:w="1063"/>
        <w:gridCol w:w="1011"/>
        <w:gridCol w:w="1011"/>
        <w:gridCol w:w="1011"/>
        <w:gridCol w:w="1011"/>
        <w:gridCol w:w="1011"/>
        <w:gridCol w:w="1063"/>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475" w:hRule="atLeast"/>
          <w:jc w:val="center"/>
        </w:trPr>
        <w:tc>
          <w:tcPr>
            <w:tcW w:w="3194" w:type="dxa"/>
            <w:gridSpan w:val="3"/>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(本列数据的勾稽关系为：第一项加第二项之和，等于第三项加第四项之和)</w:t>
            </w:r>
          </w:p>
        </w:tc>
        <w:tc>
          <w:tcPr>
            <w:tcW w:w="6706" w:type="dxa"/>
            <w:gridSpan w:val="7"/>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申请人情况</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gridSpan w:val="3"/>
            <w:vMerge w:val="continue"/>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自然人</w:t>
            </w:r>
          </w:p>
        </w:tc>
        <w:tc>
          <w:tcPr>
            <w:tcW w:w="4790"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法人或其他组织</w:t>
            </w:r>
          </w:p>
        </w:tc>
        <w:tc>
          <w:tcPr>
            <w:tcW w:w="958"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总计</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gridSpan w:val="3"/>
            <w:vMerge w:val="continue"/>
            <w:tcBorders>
              <w:top w:val="single" w:color="auto" w:sz="8" w:space="0"/>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商业企业</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科研机构</w:t>
            </w:r>
          </w:p>
        </w:tc>
        <w:tc>
          <w:tcPr>
            <w:tcW w:w="95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社会公益组织</w:t>
            </w:r>
          </w:p>
        </w:tc>
        <w:tc>
          <w:tcPr>
            <w:tcW w:w="95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法律服务机构</w:t>
            </w:r>
          </w:p>
        </w:tc>
        <w:tc>
          <w:tcPr>
            <w:tcW w:w="95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其他</w:t>
            </w:r>
          </w:p>
        </w:tc>
        <w:tc>
          <w:tcPr>
            <w:tcW w:w="0" w:type="auto"/>
            <w:vMerge w:val="continue"/>
            <w:tcBorders>
              <w:top w:val="single" w:color="auto" w:sz="8" w:space="0"/>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457" w:hRule="atLeast"/>
          <w:jc w:val="center"/>
        </w:trPr>
        <w:tc>
          <w:tcPr>
            <w:tcW w:w="3194"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一、本年新收政府信息公开申请数量</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2</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2</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475" w:hRule="atLeast"/>
          <w:jc w:val="center"/>
        </w:trPr>
        <w:tc>
          <w:tcPr>
            <w:tcW w:w="3194"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二、上年结转政府信息公开申请数量</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457" w:hRule="atLeast"/>
          <w:jc w:val="center"/>
        </w:trPr>
        <w:tc>
          <w:tcPr>
            <w:tcW w:w="1278"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三、</w:t>
            </w:r>
          </w:p>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本年度办理结果</w:t>
            </w:r>
          </w:p>
        </w:tc>
        <w:tc>
          <w:tcPr>
            <w:tcW w:w="1916"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(一)予以公开</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1</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702"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1916"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(二)部分公开(区分处理的，只计这一情形，不计其他情形)</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457"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(三)</w:t>
            </w:r>
          </w:p>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不予公开</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1.属于国家秘密</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2.其他法律行政法规禁止公开</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3.危及“三安全一稳定”</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4.保护第三方合法权益</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1</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5.属于三类内部事务信息</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6.属于四类过程性信息</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7.属于行政查询事项</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(四)无法提供</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1.本机关不掌握相关政府信息</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2.没有现成信息需要另行制作</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3.补正后申请内容仍不明确</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(五)不予处理</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1.信访举报投诉类申请</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2.重复申请</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3.要求提供公开出版物</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4.无正当理由大量反复申请</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5.要求行政机关确认或重新出具已获取信息</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1916"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(六)其他处理</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1916"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(七)总计</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2</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2</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475" w:hRule="atLeast"/>
          <w:jc w:val="center"/>
        </w:trPr>
        <w:tc>
          <w:tcPr>
            <w:tcW w:w="3194"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四、结转下年度继续办理</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95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640"/>
              <w:jc w:val="center"/>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bl>
    <w:p>
      <w:pPr>
        <w:shd w:val="clear" w:color="auto" w:fill="FFFFFF"/>
        <w:adjustRightInd/>
        <w:snapToGrid/>
        <w:spacing w:after="0" w:line="590" w:lineRule="exact"/>
        <w:ind w:firstLine="640"/>
        <w:jc w:val="both"/>
        <w:rPr>
          <w:rFonts w:hint="eastAsia" w:ascii="方正黑体_GBK" w:hAnsi="仿宋" w:eastAsia="方正黑体_GBK" w:cs="宋体"/>
          <w:bCs/>
          <w:color w:val="333333"/>
          <w:sz w:val="32"/>
          <w:szCs w:val="32"/>
        </w:rPr>
      </w:pPr>
      <w:r>
        <w:rPr>
          <w:rFonts w:hint="eastAsia" w:ascii="方正黑体_GBK" w:hAnsi="仿宋" w:eastAsia="方正黑体_GBK" w:cs="宋体"/>
          <w:bCs/>
          <w:color w:val="333333"/>
          <w:sz w:val="32"/>
          <w:szCs w:val="32"/>
        </w:rPr>
        <w:t>四、政府信息公开行政复议、行政诉讼情况</w:t>
      </w:r>
    </w:p>
    <w:tbl>
      <w:tblPr>
        <w:tblStyle w:val="6"/>
        <w:tblW w:w="1082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851"/>
        <w:gridCol w:w="851"/>
        <w:gridCol w:w="851"/>
        <w:gridCol w:w="851"/>
        <w:gridCol w:w="851"/>
        <w:gridCol w:w="851"/>
        <w:gridCol w:w="851"/>
        <w:gridCol w:w="851"/>
        <w:gridCol w:w="851"/>
        <w:gridCol w:w="851"/>
        <w:gridCol w:w="851"/>
        <w:gridCol w:w="851"/>
        <w:gridCol w:w="851"/>
        <w:gridCol w:w="851"/>
        <w:gridCol w:w="85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274" w:hRule="atLeast"/>
          <w:jc w:val="center"/>
        </w:trPr>
        <w:tc>
          <w:tcPr>
            <w:tcW w:w="3606"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行政复议</w:t>
            </w:r>
          </w:p>
        </w:tc>
        <w:tc>
          <w:tcPr>
            <w:tcW w:w="7214" w:type="dxa"/>
            <w:gridSpan w:val="10"/>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行政诉讼</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72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结果维持</w:t>
            </w:r>
          </w:p>
        </w:tc>
        <w:tc>
          <w:tcPr>
            <w:tcW w:w="720"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结果纠正</w:t>
            </w:r>
          </w:p>
        </w:tc>
        <w:tc>
          <w:tcPr>
            <w:tcW w:w="722"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其他结果</w:t>
            </w:r>
          </w:p>
        </w:tc>
        <w:tc>
          <w:tcPr>
            <w:tcW w:w="722"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尚未审结</w:t>
            </w:r>
          </w:p>
        </w:tc>
        <w:tc>
          <w:tcPr>
            <w:tcW w:w="720"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总计</w:t>
            </w:r>
          </w:p>
        </w:tc>
        <w:tc>
          <w:tcPr>
            <w:tcW w:w="3606"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未经复议直接起诉</w:t>
            </w:r>
          </w:p>
        </w:tc>
        <w:tc>
          <w:tcPr>
            <w:tcW w:w="3608"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tcPr>
          <w:p>
            <w:pPr>
              <w:adjustRightInd/>
              <w:snapToGrid/>
              <w:spacing w:after="0" w:line="590" w:lineRule="exact"/>
              <w:ind w:firstLine="480"/>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复议后起诉</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776" w:hRule="atLeast"/>
          <w:jc w:val="center"/>
        </w:trPr>
        <w:tc>
          <w:tcPr>
            <w:tcW w:w="0" w:type="auto"/>
            <w:vMerge w:val="continue"/>
            <w:tcBorders>
              <w:top w:val="nil"/>
              <w:left w:val="single" w:color="auto" w:sz="8" w:space="0"/>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nil"/>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single" w:color="auto" w:sz="8" w:space="0"/>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single" w:color="auto" w:sz="8" w:space="0"/>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0" w:type="auto"/>
            <w:vMerge w:val="continue"/>
            <w:tcBorders>
              <w:top w:val="single" w:color="auto" w:sz="8" w:space="0"/>
              <w:left w:val="nil"/>
              <w:bottom w:val="single" w:color="auto" w:sz="8" w:space="0"/>
              <w:right w:val="single" w:color="auto" w:sz="8" w:space="0"/>
            </w:tcBorders>
            <w:tcMar>
              <w:top w:w="0" w:type="dxa"/>
              <w:left w:w="0" w:type="dxa"/>
              <w:bottom w:w="0" w:type="dxa"/>
              <w:right w:w="0" w:type="dxa"/>
            </w:tcMar>
            <w:vAlign w:val="center"/>
          </w:tcPr>
          <w:p>
            <w:pPr>
              <w:adjustRightInd/>
              <w:snapToGrid/>
              <w:spacing w:after="0" w:line="590" w:lineRule="exact"/>
              <w:rPr>
                <w:rFonts w:hint="eastAsia" w:ascii="方正仿宋_GBK" w:hAnsi="Calibri" w:eastAsia="方正仿宋_GBK" w:cs="Times New Roman"/>
                <w:sz w:val="32"/>
                <w:szCs w:val="32"/>
              </w:rPr>
            </w:pPr>
          </w:p>
        </w:tc>
        <w:tc>
          <w:tcPr>
            <w:tcW w:w="72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结果维持</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结果纠正</w:t>
            </w:r>
          </w:p>
        </w:tc>
        <w:tc>
          <w:tcPr>
            <w:tcW w:w="72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其他结果</w:t>
            </w:r>
          </w:p>
        </w:tc>
        <w:tc>
          <w:tcPr>
            <w:tcW w:w="72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尚未审结</w:t>
            </w:r>
          </w:p>
        </w:tc>
        <w:tc>
          <w:tcPr>
            <w:tcW w:w="7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总计</w:t>
            </w:r>
          </w:p>
        </w:tc>
        <w:tc>
          <w:tcPr>
            <w:tcW w:w="72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结果维持</w:t>
            </w:r>
          </w:p>
        </w:tc>
        <w:tc>
          <w:tcPr>
            <w:tcW w:w="72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结果纠正</w:t>
            </w:r>
          </w:p>
        </w:tc>
        <w:tc>
          <w:tcPr>
            <w:tcW w:w="72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其他结果</w:t>
            </w:r>
          </w:p>
        </w:tc>
        <w:tc>
          <w:tcPr>
            <w:tcW w:w="728"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尚未审结</w:t>
            </w:r>
          </w:p>
        </w:tc>
        <w:tc>
          <w:tcPr>
            <w:tcW w:w="71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总计</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412" w:hRule="atLeast"/>
          <w:jc w:val="center"/>
        </w:trPr>
        <w:tc>
          <w:tcPr>
            <w:tcW w:w="72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0"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2"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28"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c>
          <w:tcPr>
            <w:tcW w:w="716" w:type="dxa"/>
            <w:tcBorders>
              <w:top w:val="nil"/>
              <w:left w:val="nil"/>
              <w:bottom w:val="single" w:color="auto" w:sz="8" w:space="0"/>
              <w:right w:val="single" w:color="auto" w:sz="8" w:space="0"/>
            </w:tcBorders>
            <w:tcMar>
              <w:top w:w="0" w:type="dxa"/>
              <w:left w:w="108" w:type="dxa"/>
              <w:bottom w:w="0" w:type="dxa"/>
              <w:right w:w="108" w:type="dxa"/>
            </w:tcMar>
            <w:vAlign w:val="center"/>
          </w:tcPr>
          <w:p>
            <w:pPr>
              <w:adjustRightInd/>
              <w:snapToGrid/>
              <w:spacing w:after="0" w:line="590" w:lineRule="exact"/>
              <w:ind w:firstLine="480"/>
              <w:jc w:val="both"/>
              <w:rPr>
                <w:rFonts w:hint="eastAsia" w:ascii="方正仿宋_GBK" w:hAnsi="Calibri" w:eastAsia="方正仿宋_GBK" w:cs="Times New Roman"/>
                <w:sz w:val="32"/>
                <w:szCs w:val="32"/>
              </w:rPr>
            </w:pPr>
            <w:r>
              <w:rPr>
                <w:rFonts w:hint="eastAsia" w:ascii="方正仿宋_GBK" w:hAnsi="仿宋" w:eastAsia="方正仿宋_GBK" w:cs="Times New Roman"/>
                <w:sz w:val="32"/>
                <w:szCs w:val="32"/>
              </w:rPr>
              <w:t>0</w:t>
            </w:r>
          </w:p>
        </w:tc>
      </w:tr>
    </w:tbl>
    <w:p>
      <w:pPr>
        <w:shd w:val="clear" w:color="auto" w:fill="FFFFFF"/>
        <w:adjustRightInd/>
        <w:snapToGrid/>
        <w:spacing w:after="0" w:line="590" w:lineRule="exact"/>
        <w:ind w:firstLine="640"/>
        <w:jc w:val="both"/>
        <w:rPr>
          <w:rFonts w:hint="eastAsia" w:ascii="方正黑体_GBK" w:hAnsi="仿宋" w:eastAsia="方正黑体_GBK" w:cs="宋体"/>
          <w:bCs/>
          <w:color w:val="333333"/>
          <w:sz w:val="32"/>
          <w:szCs w:val="32"/>
        </w:rPr>
      </w:pPr>
      <w:r>
        <w:rPr>
          <w:rFonts w:hint="eastAsia" w:ascii="方正黑体_GBK" w:hAnsi="仿宋" w:eastAsia="方正黑体_GBK" w:cs="宋体"/>
          <w:bCs/>
          <w:color w:val="333333"/>
          <w:sz w:val="32"/>
          <w:szCs w:val="32"/>
        </w:rPr>
        <w:t>五、存在的问题及改进情况</w:t>
      </w:r>
    </w:p>
    <w:p>
      <w:pPr>
        <w:shd w:val="clear" w:color="auto" w:fill="FFFFFF"/>
        <w:adjustRightInd/>
        <w:snapToGrid/>
        <w:spacing w:after="0" w:line="590" w:lineRule="exact"/>
        <w:ind w:firstLine="640"/>
        <w:jc w:val="both"/>
        <w:rPr>
          <w:rFonts w:hint="eastAsia" w:ascii="方正楷体_GBK" w:hAnsi="仿宋" w:eastAsia="方正楷体_GBK" w:cs="宋体"/>
          <w:color w:val="333333"/>
          <w:sz w:val="32"/>
          <w:szCs w:val="32"/>
        </w:rPr>
      </w:pPr>
      <w:r>
        <w:rPr>
          <w:rFonts w:hint="eastAsia" w:ascii="方正楷体_GBK" w:hAnsi="仿宋" w:eastAsia="方正楷体_GBK" w:cs="宋体"/>
          <w:color w:val="333333"/>
          <w:sz w:val="32"/>
          <w:szCs w:val="32"/>
        </w:rPr>
        <w:t>(一)存在的问题 </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仿宋" w:eastAsia="方正仿宋_GBK" w:cs="宋体"/>
          <w:color w:val="333333"/>
          <w:sz w:val="32"/>
          <w:szCs w:val="32"/>
        </w:rPr>
        <w:t>2020年，我局政府信息公开工作经过区委区政府的关心指导以及全局协作努力，取得了较好成绩。但与上级的要求还有差距，主要体现在：公开内容不够丰富、形式不够新颖、标准还不够高、内容还不够全面，信息更新还需要进一步落实，如相关股室信息报送质量不高,出台的政策性文件报送不及时，造成本部门，部分栏目不能实时进行更新，信息公开的质量、时间节点，有待提高。</w:t>
      </w:r>
    </w:p>
    <w:p>
      <w:pPr>
        <w:shd w:val="clear" w:color="auto" w:fill="FFFFFF"/>
        <w:adjustRightInd/>
        <w:snapToGrid/>
        <w:spacing w:after="0" w:line="590" w:lineRule="exact"/>
        <w:ind w:firstLine="640"/>
        <w:jc w:val="both"/>
        <w:rPr>
          <w:rFonts w:hint="eastAsia" w:ascii="方正楷体_GBK" w:hAnsi="仿宋" w:eastAsia="方正楷体_GBK" w:cs="宋体"/>
          <w:color w:val="333333"/>
          <w:sz w:val="32"/>
          <w:szCs w:val="32"/>
        </w:rPr>
      </w:pPr>
      <w:r>
        <w:rPr>
          <w:rFonts w:hint="eastAsia" w:ascii="方正楷体_GBK" w:hAnsi="仿宋" w:eastAsia="方正楷体_GBK" w:cs="宋体"/>
          <w:color w:val="333333"/>
          <w:sz w:val="32"/>
          <w:szCs w:val="32"/>
        </w:rPr>
        <w:t>(二)改进情况 </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仿宋" w:eastAsia="方正仿宋_GBK" w:cs="宋体"/>
          <w:color w:val="333333"/>
          <w:sz w:val="32"/>
          <w:szCs w:val="32"/>
        </w:rPr>
        <w:t>按照《条例》的规定和区政府信息公开工作要求，区应急管理局将从以下几方面做好工作：</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仿宋" w:eastAsia="方正仿宋_GBK" w:cs="宋体"/>
          <w:b/>
          <w:color w:val="333333"/>
          <w:sz w:val="32"/>
          <w:szCs w:val="32"/>
        </w:rPr>
        <w:t>一是进一步强化组织领导。</w:t>
      </w:r>
      <w:r>
        <w:rPr>
          <w:rFonts w:hint="eastAsia" w:ascii="方正仿宋_GBK" w:hAnsi="仿宋" w:eastAsia="方正仿宋_GBK" w:cs="宋体"/>
          <w:color w:val="333333"/>
          <w:sz w:val="32"/>
          <w:szCs w:val="32"/>
        </w:rPr>
        <w:t>压实工作责任，完善工作机制和工作流程，明确职责分工，不断改进工作方式方法，突出重点，注重实效，加强信息报送力度，使信息公开工作更加有序、便民、高效，确保群众的知情权，接受社会监督。</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仿宋" w:eastAsia="方正仿宋_GBK" w:cs="宋体"/>
          <w:b/>
          <w:color w:val="333333"/>
          <w:sz w:val="32"/>
          <w:szCs w:val="32"/>
        </w:rPr>
        <w:t>二是加强保密审查，严把质量关。</w:t>
      </w:r>
      <w:r>
        <w:rPr>
          <w:rFonts w:hint="eastAsia" w:ascii="方正仿宋_GBK" w:hAnsi="仿宋" w:eastAsia="方正仿宋_GBK" w:cs="宋体"/>
          <w:color w:val="333333"/>
          <w:sz w:val="32"/>
          <w:szCs w:val="32"/>
        </w:rPr>
        <w:t>对照《条例》的具体要求，认真清理政府信息公开事项，查漏补缺，确保应公开的政府信息全部公开到位、不泄露隐私，同时严把质量关、保密审查关，依据有关法律、法规严格审核公开内容，确保政府信息公开不影响国家安全、公共安全、经济安全和社会稳定，真正体现公开、公平、公正。</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仿宋" w:eastAsia="方正仿宋_GBK" w:cs="宋体"/>
          <w:b/>
          <w:color w:val="333333"/>
          <w:sz w:val="32"/>
          <w:szCs w:val="32"/>
        </w:rPr>
        <w:t>三是进一步拓宽信息公开途径。</w:t>
      </w:r>
      <w:r>
        <w:rPr>
          <w:rFonts w:hint="eastAsia" w:ascii="方正仿宋_GBK" w:hAnsi="仿宋" w:eastAsia="方正仿宋_GBK" w:cs="宋体"/>
          <w:color w:val="333333"/>
          <w:sz w:val="32"/>
          <w:szCs w:val="32"/>
        </w:rPr>
        <w:t>通过微博微信等多种方式加大应急管理领域政策宣传力度，进一步细化信息公开工作流程，拓宽公开渠道，确保操作简单易懂，利于群众办事查找。</w:t>
      </w:r>
    </w:p>
    <w:p>
      <w:pPr>
        <w:shd w:val="clear" w:color="auto" w:fill="FFFFFF"/>
        <w:adjustRightInd/>
        <w:snapToGrid/>
        <w:spacing w:after="0" w:line="590" w:lineRule="exact"/>
        <w:ind w:firstLine="640"/>
        <w:jc w:val="both"/>
        <w:rPr>
          <w:rFonts w:hint="eastAsia" w:ascii="方正黑体_GBK" w:hAnsi="Calibri" w:eastAsia="方正黑体_GBK" w:cs="宋体"/>
          <w:color w:val="333333"/>
          <w:sz w:val="32"/>
          <w:szCs w:val="32"/>
        </w:rPr>
      </w:pPr>
      <w:r>
        <w:rPr>
          <w:rFonts w:hint="eastAsia" w:ascii="方正黑体_GBK" w:hAnsi="仿宋" w:eastAsia="方正黑体_GBK" w:cs="宋体"/>
          <w:bCs/>
          <w:color w:val="333333"/>
          <w:sz w:val="32"/>
          <w:szCs w:val="32"/>
        </w:rPr>
        <w:t>六、其他需要报告的事项</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仿宋" w:eastAsia="方正仿宋_GBK" w:cs="宋体"/>
          <w:color w:val="333333"/>
          <w:sz w:val="32"/>
          <w:szCs w:val="32"/>
        </w:rPr>
        <w:t>2021年工作打算，坚持以习近平新时代中国特色社会主义思想为指导，全面贯彻党的十九大和十九届二中、三中、四中和五中全会精神，在区委、区政府的领导下，在区政务公开办和区电子政务管理中心的继续指导下，认真落实《中华人民共和国政府信息公开条例》，严格按照省、市、区有关文件精神、要求，强化信息公开工作的业务知识，进一步提高我局工作人员业务素质和工作水平，深入推进机关效能建设，克服困难，努力创新思维、创新形式，结合本单位实际,着力抓好、全面提升政府信息公开的规范化，实现我局政府信息公开工作2021年再上一个新的台阶。</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宋体" w:eastAsia="方正仿宋_GBK" w:cs="宋体"/>
          <w:color w:val="333333"/>
          <w:sz w:val="32"/>
          <w:szCs w:val="32"/>
        </w:rPr>
        <w:t> </w:t>
      </w:r>
    </w:p>
    <w:p>
      <w:pPr>
        <w:shd w:val="clear" w:color="auto" w:fill="FFFFFF"/>
        <w:adjustRightInd/>
        <w:snapToGrid/>
        <w:spacing w:after="0" w:line="590" w:lineRule="exact"/>
        <w:ind w:firstLine="640"/>
        <w:jc w:val="both"/>
        <w:rPr>
          <w:rFonts w:hint="eastAsia" w:ascii="方正仿宋_GBK" w:hAnsi="Calibri" w:eastAsia="方正仿宋_GBK" w:cs="宋体"/>
          <w:color w:val="333333"/>
          <w:sz w:val="32"/>
          <w:szCs w:val="32"/>
        </w:rPr>
      </w:pPr>
      <w:r>
        <w:rPr>
          <w:rFonts w:hint="eastAsia" w:ascii="方正仿宋_GBK" w:hAnsi="宋体" w:eastAsia="方正仿宋_GBK" w:cs="宋体"/>
          <w:color w:val="333333"/>
          <w:sz w:val="32"/>
          <w:szCs w:val="32"/>
        </w:rPr>
        <w:t> </w:t>
      </w:r>
    </w:p>
    <w:p>
      <w:pPr>
        <w:shd w:val="clear" w:color="auto" w:fill="FFFFFF"/>
        <w:adjustRightInd/>
        <w:snapToGrid/>
        <w:spacing w:after="0" w:line="590" w:lineRule="exact"/>
        <w:jc w:val="right"/>
        <w:rPr>
          <w:rFonts w:hint="eastAsia" w:ascii="方正仿宋_GBK" w:hAnsi="Calibri" w:eastAsia="方正仿宋_GBK" w:cs="宋体"/>
          <w:color w:val="333333"/>
          <w:sz w:val="32"/>
          <w:szCs w:val="32"/>
        </w:rPr>
      </w:pPr>
      <w:r>
        <w:rPr>
          <w:rFonts w:hint="eastAsia" w:ascii="方正仿宋_GBK" w:hAnsi="仿宋" w:eastAsia="方正仿宋_GBK" w:cs="宋体"/>
          <w:color w:val="333333"/>
          <w:sz w:val="32"/>
          <w:szCs w:val="32"/>
        </w:rPr>
        <w:t>六安市金安区应急管理局</w:t>
      </w:r>
    </w:p>
    <w:p>
      <w:pPr>
        <w:shd w:val="clear" w:color="auto" w:fill="FFFFFF"/>
        <w:adjustRightInd/>
        <w:snapToGrid/>
        <w:spacing w:after="0" w:line="590" w:lineRule="exact"/>
        <w:jc w:val="right"/>
        <w:rPr>
          <w:rFonts w:hint="eastAsia" w:ascii="方正仿宋_GBK" w:hAnsi="Calibri" w:eastAsia="方正仿宋_GBK" w:cs="宋体"/>
          <w:color w:val="333333"/>
          <w:sz w:val="32"/>
          <w:szCs w:val="32"/>
        </w:rPr>
      </w:pPr>
      <w:r>
        <w:rPr>
          <w:rFonts w:hint="eastAsia" w:ascii="方正仿宋_GBK" w:hAnsi="仿宋" w:eastAsia="方正仿宋_GBK" w:cs="宋体"/>
          <w:color w:val="333333"/>
          <w:sz w:val="32"/>
          <w:szCs w:val="32"/>
        </w:rPr>
        <w:t>2021年1月18日</w:t>
      </w:r>
    </w:p>
    <w:bookmarkEnd w:id="0"/>
    <w:p>
      <w:pPr>
        <w:spacing w:after="0" w:line="590" w:lineRule="exact"/>
        <w:rPr>
          <w:rFonts w:hint="eastAsia" w:ascii="方正仿宋_GBK" w:eastAsia="方正仿宋_GBK"/>
          <w:sz w:val="32"/>
          <w:szCs w:val="32"/>
        </w:rPr>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docVars>
    <w:docVar w:name="commondata" w:val="eyJoZGlkIjoiMjExYTllMGZjMDc3ODdjYTc0ZWEwMDUzZTg4YTY1MmYifQ=="/>
  </w:docVars>
  <w:rsids>
    <w:rsidRoot w:val="00D31D50"/>
    <w:rsid w:val="00323B43"/>
    <w:rsid w:val="003D37D8"/>
    <w:rsid w:val="00426133"/>
    <w:rsid w:val="004358AB"/>
    <w:rsid w:val="00651BEC"/>
    <w:rsid w:val="008B7726"/>
    <w:rsid w:val="00955E8B"/>
    <w:rsid w:val="00D31D50"/>
    <w:rsid w:val="00D6327B"/>
    <w:rsid w:val="00D64562"/>
    <w:rsid w:val="4E585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link w:val="11"/>
    <w:qFormat/>
    <w:uiPriority w:val="9"/>
    <w:pPr>
      <w:adjustRightInd/>
      <w:snapToGrid/>
      <w:spacing w:before="100" w:beforeAutospacing="1" w:after="100" w:afterAutospacing="1"/>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semiHidden/>
    <w:unhideWhenUsed/>
    <w:uiPriority w:val="99"/>
    <w:pPr>
      <w:tabs>
        <w:tab w:val="center" w:pos="4153"/>
        <w:tab w:val="right" w:pos="8306"/>
      </w:tabs>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jc w:val="center"/>
    </w:pPr>
    <w:rPr>
      <w:sz w:val="18"/>
      <w:szCs w:val="18"/>
    </w:rPr>
  </w:style>
  <w:style w:type="paragraph" w:styleId="5">
    <w:name w:val="Normal (Web)"/>
    <w:basedOn w:val="1"/>
    <w:unhideWhenUsed/>
    <w:uiPriority w:val="99"/>
    <w:pPr>
      <w:adjustRightInd/>
      <w:snapToGrid/>
      <w:spacing w:before="100" w:beforeAutospacing="1" w:after="100" w:afterAutospacing="1"/>
    </w:pPr>
    <w:rPr>
      <w:rFonts w:ascii="宋体" w:hAnsi="宋体" w:eastAsia="宋体" w:cs="宋体"/>
      <w:sz w:val="24"/>
      <w:szCs w:val="24"/>
    </w:rPr>
  </w:style>
  <w:style w:type="character" w:styleId="8">
    <w:name w:val="Hyperlink"/>
    <w:basedOn w:val="7"/>
    <w:semiHidden/>
    <w:unhideWhenUsed/>
    <w:uiPriority w:val="99"/>
    <w:rPr>
      <w:color w:val="0000FF"/>
      <w:u w:val="single"/>
    </w:rPr>
  </w:style>
  <w:style w:type="character" w:customStyle="1" w:styleId="9">
    <w:name w:val="页眉 Char"/>
    <w:basedOn w:val="7"/>
    <w:link w:val="4"/>
    <w:semiHidden/>
    <w:uiPriority w:val="99"/>
    <w:rPr>
      <w:rFonts w:ascii="Tahoma" w:hAnsi="Tahoma"/>
      <w:sz w:val="18"/>
      <w:szCs w:val="18"/>
    </w:rPr>
  </w:style>
  <w:style w:type="character" w:customStyle="1" w:styleId="10">
    <w:name w:val="页脚 Char"/>
    <w:basedOn w:val="7"/>
    <w:link w:val="3"/>
    <w:semiHidden/>
    <w:uiPriority w:val="99"/>
    <w:rPr>
      <w:rFonts w:ascii="Tahoma" w:hAnsi="Tahoma"/>
      <w:sz w:val="18"/>
      <w:szCs w:val="18"/>
    </w:rPr>
  </w:style>
  <w:style w:type="character" w:customStyle="1" w:styleId="11">
    <w:name w:val="标题 1 Char"/>
    <w:basedOn w:val="7"/>
    <w:link w:val="2"/>
    <w:uiPriority w:val="9"/>
    <w:rPr>
      <w:rFonts w:ascii="宋体" w:hAnsi="宋体" w:eastAsia="宋体" w:cs="宋体"/>
      <w:b/>
      <w:bCs/>
      <w:kern w:val="36"/>
      <w:sz w:val="48"/>
      <w:szCs w:val="48"/>
    </w:rPr>
  </w:style>
  <w:style w:type="character" w:customStyle="1" w:styleId="12">
    <w:name w:val="sp"/>
    <w:basedOn w:val="7"/>
    <w:uiPriority w:val="0"/>
  </w:style>
  <w:style w:type="character" w:customStyle="1" w:styleId="13">
    <w:name w:val="res"/>
    <w:basedOn w:val="7"/>
    <w:uiPriority w:val="0"/>
  </w:style>
  <w:style w:type="character" w:customStyle="1" w:styleId="14">
    <w:name w:val="j-info-hit"/>
    <w:basedOn w:val="7"/>
    <w:uiPriority w:val="0"/>
  </w:style>
  <w:style w:type="character" w:customStyle="1" w:styleId="15">
    <w:name w:val="share"/>
    <w:basedOn w:val="7"/>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588</Words>
  <Characters>3356</Characters>
  <Lines>27</Lines>
  <Paragraphs>7</Paragraphs>
  <TotalTime>15</TotalTime>
  <ScaleCrop>false</ScaleCrop>
  <LinksUpToDate>false</LinksUpToDate>
  <CharactersWithSpaces>3937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张志凯</cp:lastModifiedBy>
  <dcterms:modified xsi:type="dcterms:W3CDTF">2025-03-19T08:01:06Z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1333F3BB1C21422EBEB2D01A46DE90D6_12</vt:lpwstr>
  </property>
</Properties>
</file>