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2DD4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六安市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金安区木厂镇2024年政府</w:t>
      </w:r>
    </w:p>
    <w:p w14:paraId="25A45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Arial Unicode MS" w:hAnsi="Arial Unicode MS" w:eastAsia="Arial Unicode MS" w:cs="Arial Unicode MS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信息公开工作年度报告</w:t>
      </w:r>
    </w:p>
    <w:p w14:paraId="1C6128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Calibri" w:hAnsi="Calibri" w:eastAsia="宋体" w:cs="Times New Roman"/>
          <w:lang w:val="en-US" w:eastAsia="zh-CN"/>
        </w:rPr>
      </w:pPr>
    </w:p>
    <w:p w14:paraId="2B99EE3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本报告依据《国务院办公厅政府信息与政务公开办公室关于印发〈中华人民共和国政府信息公开工作年度报告格式〉的通知》（国办公开办函〔2021〕30号）和《六安市政务公开工作领导组办公室关于做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好2024年度政府信息公开年度报告编制和发布的工作提示》要求编制而成。</w:t>
      </w:r>
    </w:p>
    <w:p w14:paraId="34BECCD9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  <w:t>一、总体情况</w:t>
      </w:r>
    </w:p>
    <w:p w14:paraId="723C2D1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  <w:t>（一）主动公开情况</w:t>
      </w:r>
    </w:p>
    <w:p w14:paraId="654CF68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2024年度，木厂镇积极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贯彻落实上级部署，严格落实《中华人民共和国政府信息公开条例》要求，进一步推进基层政务公开和村务公开。截至2024年底，木厂镇发布政府信息1098条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发布基础栏目信息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598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条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安全生产、节日提示、便民信息等回应关切150条，及时更新16个基层政务公开标准化规范化栏目，公开就业创业、社会救助、教育医疗等500条。成功举办木厂镇“政策宣传大赶集，服务群众零距离”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政府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开放日活动，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征集有效意见50余条。动态发布公共文化服务活动30场，定期更新城乡低保、特困人员救助、医疗救助等民生信息，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持续做好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食品药品监管、就业创业、义务教育、粮食安全等重点领域信息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公开。</w:t>
      </w:r>
    </w:p>
    <w:p w14:paraId="768C09C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  <w:t>（二）依申请公开情况</w:t>
      </w:r>
    </w:p>
    <w:p w14:paraId="61669AB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严格按照依申请公开制度，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</w:rPr>
        <w:t>规范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办理流程，不断提升办理时效和质量。根据《中华人民共和国政府信息公开条例》，编制政府信息公开指南，确定受理机构、受理条件、申请方式，推动依申请公开工作有序进行。2024年我镇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未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收到政府信息公开申请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  <w:t>。</w:t>
      </w:r>
    </w:p>
    <w:p w14:paraId="6674500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  <w:t>（三）政府信息管理</w:t>
      </w:r>
    </w:p>
    <w:p w14:paraId="198DDAB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一是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加强信息发布监管，制定完善信息发布制度，规范信息发布流程，推动全过程管理监督。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二是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明确审核责任，严格落实信息公开发布“三审”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制度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，重点审查信息的安全性，包括是否涉密、是否泄露个人隐私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常态化整改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错敏词，及时清理失效信息和多余说明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  <w:t>。</w:t>
      </w:r>
    </w:p>
    <w:p w14:paraId="68D7452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  <w:t>（四）政府信息公开平台建设</w:t>
      </w:r>
    </w:p>
    <w:p w14:paraId="63082C9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一是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加强公开专区建设，强化硬件支撑，配备专用电脑、政府信息查询一体机、电子显示屏、打印机，集中摆放便民惠企政策手册等材料，方便公众随时查阅信息并办理业务。完善便民设施，如配备老花镜、茶水、休息桌椅等。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二是推进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村务公开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工作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不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定期召开政务公开业务培训会，向各村（社区）传达最新要求标准，同时做好村务公开栏更新维护，扩大村民信息渠道，提高村务公开水平。</w:t>
      </w:r>
    </w:p>
    <w:p w14:paraId="02ECB62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/>
        </w:rPr>
        <w:t>（五）监督保障</w:t>
      </w:r>
    </w:p>
    <w:p w14:paraId="1696385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木厂镇严格遵循 “依法公开，真实公正，注重实效，有利监督”原则，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一是结合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工作实际，及时调整政务公开工作领导小组，建立健全政府信息发布机制，完善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信息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公开流程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</w:rPr>
        <w:t>。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  <w:lang w:val="en-US" w:eastAsia="zh-CN"/>
        </w:rPr>
        <w:t>二是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</w:rPr>
        <w:t>根据问题清单，对标对表，认真整改，确保信息发布规范完整；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  <w:lang w:val="en-US" w:eastAsia="zh-CN"/>
        </w:rPr>
        <w:t>三是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</w:rPr>
        <w:t>强化制度保障，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  <w:lang w:val="en-US" w:eastAsia="zh-CN"/>
        </w:rPr>
        <w:t>将政务公开纳入年度工作考核，健全长效机制，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</w:rPr>
        <w:t>接受社会监督，把政府信息公开工作落到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实处。2024年度我镇社会评议情况良好，未产生责任追究相关问题和结果。</w:t>
      </w:r>
    </w:p>
    <w:p w14:paraId="4889734C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  <w:t>二、主动公开政府信息情况</w:t>
      </w:r>
    </w:p>
    <w:tbl>
      <w:tblPr>
        <w:tblStyle w:val="4"/>
        <w:tblW w:w="9095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73"/>
        <w:gridCol w:w="2274"/>
        <w:gridCol w:w="2274"/>
        <w:gridCol w:w="2274"/>
      </w:tblGrid>
      <w:tr w14:paraId="56CABE67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09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D22948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 w14:paraId="1C05D8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6FE212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22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1D0256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本年制发件数</w:t>
            </w:r>
          </w:p>
        </w:tc>
        <w:tc>
          <w:tcPr>
            <w:tcW w:w="22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4A8EC7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本年废止件数</w:t>
            </w:r>
          </w:p>
        </w:tc>
        <w:tc>
          <w:tcPr>
            <w:tcW w:w="22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7AB13D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现行有效件数</w:t>
            </w:r>
          </w:p>
        </w:tc>
      </w:tr>
      <w:tr w14:paraId="7D4EB8B2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9C28A0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98BC12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E797DE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117161"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14:paraId="59F2C46D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D18520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行政规范性文件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C40EE3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70B2B2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BB8F5B"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14:paraId="7561465E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095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895299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 w14:paraId="3F8D2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948B34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682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8777505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本年处理决定数量</w:t>
            </w:r>
          </w:p>
        </w:tc>
      </w:tr>
      <w:tr w14:paraId="76907B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8698FF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682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51F798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39DADA71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095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19CF28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 w14:paraId="0D761149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47B94F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6822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D66475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本年处理决定数量</w:t>
            </w:r>
          </w:p>
        </w:tc>
      </w:tr>
      <w:tr w14:paraId="3403D2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39A1BF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682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AAA1F9"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 w14:paraId="40DDF2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D9C13F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682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6F8305"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 w14:paraId="5D31A7D8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095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80FF25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 w14:paraId="67A779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21CBDA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682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3EC019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本年收费金额（单位：万元）</w:t>
            </w:r>
          </w:p>
        </w:tc>
      </w:tr>
      <w:tr w14:paraId="54FE4C4B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3A88EC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682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B03CC1"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</w:tbl>
    <w:p w14:paraId="3B58B25E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  <w:t>三、收到和处理政府信息公开申请情况</w:t>
      </w:r>
    </w:p>
    <w:tbl>
      <w:tblPr>
        <w:tblStyle w:val="4"/>
        <w:tblW w:w="9745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7"/>
        <w:gridCol w:w="943"/>
        <w:gridCol w:w="3219"/>
        <w:gridCol w:w="688"/>
        <w:gridCol w:w="688"/>
        <w:gridCol w:w="688"/>
        <w:gridCol w:w="688"/>
        <w:gridCol w:w="688"/>
        <w:gridCol w:w="688"/>
        <w:gridCol w:w="688"/>
      </w:tblGrid>
      <w:tr w14:paraId="2A9896E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4929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F4D494">
            <w:pPr>
              <w:widowControl/>
              <w:jc w:val="left"/>
            </w:pPr>
            <w:r>
              <w:rPr>
                <w:rFonts w:ascii="楷体" w:hAnsi="楷体" w:eastAsia="楷体" w:cs="楷体"/>
                <w:color w:val="auto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4816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2A221BF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申请人情况</w:t>
            </w:r>
          </w:p>
        </w:tc>
      </w:tr>
      <w:tr w14:paraId="6C05808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4929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70148B">
            <w:pPr>
              <w:rPr>
                <w:rFonts w:ascii="宋体"/>
                <w:sz w:val="24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19F77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34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C8D252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8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374F1D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 w14:paraId="09FFEE5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4929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3305EF">
            <w:pPr>
              <w:rPr>
                <w:rFonts w:ascii="宋体"/>
                <w:sz w:val="24"/>
              </w:rPr>
            </w:pPr>
          </w:p>
        </w:tc>
        <w:tc>
          <w:tcPr>
            <w:tcW w:w="68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4EB7719">
            <w:pPr>
              <w:rPr>
                <w:rFonts w:ascii="宋体"/>
                <w:sz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BC18FA">
            <w:pPr>
              <w:widowControl/>
              <w:jc w:val="center"/>
              <w:rPr>
                <w:rFonts w:ascii="仿宋_GB2312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商业</w:t>
            </w:r>
          </w:p>
          <w:p w14:paraId="6617C0B8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6B6F27">
            <w:pPr>
              <w:widowControl/>
              <w:jc w:val="center"/>
              <w:rPr>
                <w:rFonts w:ascii="仿宋_GB2312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科研</w:t>
            </w:r>
          </w:p>
          <w:p w14:paraId="416CDAA3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3A809E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012958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F7499D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</w:t>
            </w:r>
          </w:p>
        </w:tc>
        <w:tc>
          <w:tcPr>
            <w:tcW w:w="68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8E8B03">
            <w:pPr>
              <w:rPr>
                <w:rFonts w:ascii="宋体"/>
                <w:sz w:val="24"/>
              </w:rPr>
            </w:pPr>
          </w:p>
        </w:tc>
      </w:tr>
      <w:tr w14:paraId="2365D47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492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6624B75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72CC2A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Calibri" w:hAnsi="Calibri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5994491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897097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9C52D13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74BFB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CA9A9E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24C5BB0">
            <w:pPr>
              <w:widowControl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4257F31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492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FA6AD1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4CC394B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4EE43F2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B0F5118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23205D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9342B3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FD65AFC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9699C21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29C6B49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31DAE3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16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46D0B5A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3D4D415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1CCC0F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D3B4C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2E3B6F2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625FDB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45C7549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F1BCFF6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6EB2074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1DFFA5">
            <w:pPr>
              <w:rPr>
                <w:rFonts w:ascii="宋体"/>
                <w:sz w:val="24"/>
              </w:rPr>
            </w:pPr>
          </w:p>
        </w:tc>
        <w:tc>
          <w:tcPr>
            <w:tcW w:w="416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C1CF1D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（二）部分公开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（区分处理的，只计这一情形，不计其他情形）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CFAA8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553A7D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1AFD54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1CA2A1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CFE583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1B365C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0D8EB7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7DCFA3B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9EA64A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B656D8D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707FAEC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C1269A8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2CF8937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8E2372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42FDD7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92E8C37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1B064D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D2979D4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72090E8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9C6756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4C17B0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3056802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DF3E6A4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CD69334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C262D48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48FAA65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3A5A3A3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EF35BF5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E60E4E2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53E5D82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0F2C1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5853D5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8DFD63A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29605D6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EF99777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496DD55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8EF33BB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86A6927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C03578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4591FB8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20BF564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017D4BF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7980859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02CD093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3BBF311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5C5B601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93E40D8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373043C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EF41971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B04A44F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8F94A4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10705C4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4E896D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163A6F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A8A15ED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1077585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0532C7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BE91652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1F3421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ACB1088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D48D635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56397B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38770D5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2432D3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E4F134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9A09A23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FFEC041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59CACA7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6A579A2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76AE1AE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2208C03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EE4DC0B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75C3B56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0A5472B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D4B9D5F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DDC083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8D8BF7D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792831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A5BEE5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DF2C257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4196112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0ABBB65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CCA3F9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64AC2CB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6DA3370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AD6263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DB7A298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0E1BF85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5A52E66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C7EBA24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2884F6C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3386D5D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1CC4967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5140572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5340FDF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7CBFD2C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3B34860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0CBFF2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6A1614C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79535A9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2203D52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81641A1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61A1149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711A52D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937ED51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A289F16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Calibri" w:hAnsi="Calibri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3596B44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4D8DDCB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CC494D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B986DE2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CA2057C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F48FBC2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4855008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11E4875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6DDBB52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2D44F1A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226200A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128027E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93C9EE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38AD7F0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693D623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0B5FA4B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3EA5ACF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C289D4A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CFFB1A1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1EF8CEC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0101CE2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DB45B7E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46DD987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2D13125"/>
        </w:tc>
        <w:tc>
          <w:tcPr>
            <w:tcW w:w="943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7837DA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13A20B2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0FFE4DF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DA70659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58843A1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7B29547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0F308BA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CA5E89F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D87846A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566A070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44E0F49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71553EF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3E9D5F3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0A2129B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Calibri" w:hAnsi="Calibri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85D588C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8F58CC4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298813C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C7C3418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E1AA812">
            <w:pPr>
              <w:widowControl/>
              <w:jc w:val="center"/>
            </w:pPr>
            <w:r>
              <w:rPr>
                <w:rFonts w:hint="eastAsia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7646095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Calibri" w:hAnsi="Calibri" w:eastAsia="仿宋_GB2312" w:cs="Calibri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4BF7182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44700B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938BF1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6ABFB53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A2E615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98640BE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142570B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D7F9B6E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02CF108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C3C2FF2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A28665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35DA86E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AF835F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358F8E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115645C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223BE5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664603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48B3C48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4E0AD4F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7361D4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46CF2A2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7767B246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45F2613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B5AD88C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6C40144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7098AE1">
            <w:pPr>
              <w:widowControl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C53FAD6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1141FEEE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C3793D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2A6122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13C6553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550929C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3AC26F4F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685523D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B678B0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5DD92AB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ED8F0EF">
            <w:pPr>
              <w:widowControl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1.申请人无正当理由逾期不补正、行政机关不再处理其政府信息公开申请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0EB8E4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206FED6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ED1A18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B3B3F14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A4DE4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5C64124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26D20802">
            <w:pPr>
              <w:widowControl/>
              <w:jc w:val="center"/>
              <w:rPr>
                <w:rFonts w:hint="eastAsia" w:ascii="Calibri" w:hAnsi="Calibri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  <w:p w14:paraId="21270DDD">
            <w:pPr>
              <w:widowControl/>
              <w:jc w:val="center"/>
            </w:pPr>
            <w:r>
              <w:rPr>
                <w:rFonts w:hint="eastAsia" w:ascii="Calibri" w:hAnsi="Calibri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005FAC2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801279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D948D7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0C52188">
            <w:pPr>
              <w:widowControl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2.申请人逾期未按收费通知要求缴纳费用、行政机关不再处理其政府信息公开申请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8D2B0C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F9E4C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9DB351F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372FE8D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6C9124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641A1E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6597918D">
            <w:pPr>
              <w:widowControl/>
              <w:jc w:val="center"/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  <w:p w14:paraId="7E9454D3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3960510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09450C3">
            <w:pPr>
              <w:rPr>
                <w:rFonts w:ascii="宋体"/>
                <w:sz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C6BC411">
            <w:pPr>
              <w:rPr>
                <w:rFonts w:ascii="宋体"/>
                <w:sz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7BC61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3.其他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367855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6B638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F5DF641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CF106B0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CEE5D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20195E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54C190C9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758655A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4FBED78">
            <w:pPr>
              <w:rPr>
                <w:rFonts w:ascii="宋体"/>
                <w:sz w:val="24"/>
              </w:rPr>
            </w:pPr>
          </w:p>
        </w:tc>
        <w:tc>
          <w:tcPr>
            <w:tcW w:w="416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41096DF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004631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="仿宋_GB2312" w:cs="Calibri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114A8">
            <w:pPr>
              <w:widowControl/>
              <w:jc w:val="center"/>
            </w:pPr>
            <w:r>
              <w:rPr>
                <w:rFonts w:hint="eastAsia" w:eastAsia="仿宋_GB2312" w:cs="Calibri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40B983">
            <w:pPr>
              <w:widowControl/>
              <w:jc w:val="center"/>
            </w:pPr>
            <w:r>
              <w:rPr>
                <w:rFonts w:hint="eastAsia" w:eastAsia="仿宋_GB2312" w:cs="Calibri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CF583E6">
            <w:pPr>
              <w:widowControl/>
              <w:jc w:val="center"/>
            </w:pPr>
            <w:r>
              <w:rPr>
                <w:rFonts w:hint="eastAsia" w:eastAsia="仿宋_GB2312" w:cs="Calibri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FCC86F">
            <w:pPr>
              <w:widowControl/>
              <w:jc w:val="center"/>
            </w:pPr>
            <w:r>
              <w:rPr>
                <w:rFonts w:hint="eastAsia" w:eastAsia="仿宋_GB2312" w:cs="Calibri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8B1795">
            <w:pPr>
              <w:widowControl/>
              <w:jc w:val="center"/>
            </w:pPr>
            <w:r>
              <w:rPr>
                <w:rFonts w:hint="eastAsia" w:eastAsia="仿宋_GB2312" w:cs="Calibri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4B0835FC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="仿宋_GB2312" w:cs="Calibri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 w14:paraId="112486F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492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60AC72C"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446D515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DEDEC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8CF5DA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EEB60D2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F82A1B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37FB514">
            <w:pPr>
              <w:widowControl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top"/>
          </w:tcPr>
          <w:p w14:paraId="05F0C88A">
            <w:pPr>
              <w:ind w:firstLine="200" w:firstLineChars="100"/>
              <w:jc w:val="center"/>
            </w:pPr>
            <w:r>
              <w:rPr>
                <w:rFonts w:hint="eastAsia" w:eastAsia="仿宋_GB2312" w:cs="Calibri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</w:tbl>
    <w:p w14:paraId="4232C870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  <w:t xml:space="preserve">四、政府信息公开行政复议、行政诉讼情况 </w:t>
      </w:r>
    </w:p>
    <w:tbl>
      <w:tblPr>
        <w:tblStyle w:val="4"/>
        <w:tblW w:w="9071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14"/>
        <w:gridCol w:w="615"/>
        <w:gridCol w:w="615"/>
        <w:gridCol w:w="615"/>
        <w:gridCol w:w="615"/>
        <w:gridCol w:w="598"/>
        <w:gridCol w:w="599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14:paraId="4A35AD7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0D73E">
            <w:pPr>
              <w:widowControl/>
              <w:wordWrap w:val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1C8F9">
            <w:pPr>
              <w:widowControl/>
              <w:wordWrap w:val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行政诉讼</w:t>
            </w:r>
          </w:p>
        </w:tc>
      </w:tr>
      <w:tr w14:paraId="1E97D55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91F04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61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E8D2D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结果纠正</w:t>
            </w:r>
          </w:p>
        </w:tc>
        <w:tc>
          <w:tcPr>
            <w:tcW w:w="61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9DD43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其他结果</w:t>
            </w:r>
          </w:p>
        </w:tc>
        <w:tc>
          <w:tcPr>
            <w:tcW w:w="61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D8B5B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尚未审结</w:t>
            </w:r>
          </w:p>
        </w:tc>
        <w:tc>
          <w:tcPr>
            <w:tcW w:w="61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E0DDD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299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F1EDD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未经复议直接起诉</w:t>
            </w:r>
          </w:p>
        </w:tc>
        <w:tc>
          <w:tcPr>
            <w:tcW w:w="300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77406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复议后起诉</w:t>
            </w:r>
          </w:p>
        </w:tc>
      </w:tr>
      <w:tr w14:paraId="36D7A8D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0CE40">
            <w:pPr>
              <w:rPr>
                <w:rFonts w:hint="eastAsia" w:ascii="微软雅黑" w:hAnsi="微软雅黑" w:eastAsia="微软雅黑" w:cs="微软雅黑"/>
                <w:color w:val="000000"/>
                <w:sz w:val="24"/>
              </w:rPr>
            </w:pPr>
          </w:p>
        </w:tc>
        <w:tc>
          <w:tcPr>
            <w:tcW w:w="61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6ED4">
            <w:pPr>
              <w:rPr>
                <w:rFonts w:hint="eastAsia" w:ascii="微软雅黑" w:hAnsi="微软雅黑" w:eastAsia="微软雅黑" w:cs="微软雅黑"/>
                <w:color w:val="000000"/>
                <w:sz w:val="24"/>
              </w:rPr>
            </w:pPr>
          </w:p>
        </w:tc>
        <w:tc>
          <w:tcPr>
            <w:tcW w:w="61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C41AA">
            <w:pPr>
              <w:rPr>
                <w:rFonts w:hint="eastAsia" w:ascii="微软雅黑" w:hAnsi="微软雅黑" w:eastAsia="微软雅黑" w:cs="微软雅黑"/>
                <w:color w:val="000000"/>
                <w:sz w:val="24"/>
              </w:rPr>
            </w:pPr>
          </w:p>
        </w:tc>
        <w:tc>
          <w:tcPr>
            <w:tcW w:w="61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23E46">
            <w:pPr>
              <w:rPr>
                <w:rFonts w:hint="eastAsia" w:ascii="微软雅黑" w:hAnsi="微软雅黑" w:eastAsia="微软雅黑" w:cs="微软雅黑"/>
                <w:color w:val="000000"/>
                <w:sz w:val="24"/>
              </w:rPr>
            </w:pPr>
          </w:p>
        </w:tc>
        <w:tc>
          <w:tcPr>
            <w:tcW w:w="61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DB107">
            <w:pPr>
              <w:rPr>
                <w:rFonts w:hint="eastAsia" w:ascii="微软雅黑" w:hAnsi="微软雅黑" w:eastAsia="微软雅黑" w:cs="微软雅黑"/>
                <w:color w:val="000000"/>
                <w:sz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EAAF6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69E1B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结果纠正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C5741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其他结果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BD3AB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尚未审结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1C11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CBBB8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166C4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结果纠正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A5157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其他结果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7D1C0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尚未审结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74DD0">
            <w:pPr>
              <w:widowControl/>
              <w:wordWrap w:val="0"/>
              <w:spacing w:line="40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 w14:paraId="5DA94D9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E02D">
            <w:pPr>
              <w:widowControl/>
              <w:wordWrap w:val="0"/>
              <w:jc w:val="center"/>
            </w:pPr>
            <w:r>
              <w:rPr>
                <w:rFonts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84C8C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D687F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31EA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AD081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B1CC4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DA414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597C4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D0623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8DDDA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F15F5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A2FB4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02741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01A01">
            <w:pPr>
              <w:widowControl/>
              <w:wordWrap w:val="0"/>
              <w:jc w:val="center"/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F46B8">
            <w:pPr>
              <w:widowControl/>
              <w:wordWrap w:val="0"/>
              <w:jc w:val="center"/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4"/>
                <w:lang w:bidi="ar"/>
              </w:rPr>
              <w:t>0</w:t>
            </w:r>
          </w:p>
        </w:tc>
      </w:tr>
    </w:tbl>
    <w:p w14:paraId="1DA40BD0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  <w:t>五、存在的主要问题及改进情况</w:t>
      </w:r>
    </w:p>
    <w:p w14:paraId="5DAD885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  <w:t>（一）2023年度存在问题及改进情况</w:t>
      </w:r>
    </w:p>
    <w:p w14:paraId="1C5EF36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2023年，我镇政府信息公开工作虽然在稳步推进，但与上级要求和群众期盼还存在不足：1. 政务公开专区知晓度不高，未充分发挥专区作用；2.信息公开缺少系统规范，缺少专门的制度约束，与群众需求有一定差距。</w:t>
      </w:r>
    </w:p>
    <w:p w14:paraId="57755FB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2024年我镇一方面积极加强专区建设，以政府开放日活动为契机，积极进行专区宣传，发放便民手册，扩大政务公开专区的知晓范围；另一方面加强公开制度建设，制定完善信息发布制度，规范信息发布流程，建立健全长效机制，提高信息发布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效率和质量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。</w:t>
      </w:r>
    </w:p>
    <w:p w14:paraId="2C9B83E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  <w:t>（二）当前存在问题及下一步改进举措</w:t>
      </w:r>
    </w:p>
    <w:p w14:paraId="465961A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2024年，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我镇政府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信息公开虽然取得了一些成效，但仍然存在部分问题，一是意见征集方式较为单一；二是信息公开工作向村级延伸力度较弱。</w:t>
      </w:r>
    </w:p>
    <w:p w14:paraId="03E7905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2025年，我镇将严格按照《中华人民共和国政府信息公开条例》要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</w:rPr>
        <w:t>求，一是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  <w:lang w:val="en-US" w:eastAsia="zh-CN"/>
        </w:rPr>
        <w:t>丰富意见征集形式，除线上进行意见征集外，依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托木厂镇“问需于民”专项行动进行入户走访，零距离收集群众意见建议，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highlight w:val="none"/>
          <w:lang w:val="en-US" w:eastAsia="zh-CN"/>
        </w:rPr>
        <w:t>拓宽意见征集渠道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二是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val="en-US" w:eastAsia="zh-CN"/>
        </w:rPr>
        <w:t>畅通村务公开渠道，加强部门及村（社）协同配合，规范镇村政务公开流程，做好上级政务公开与村务公开有效衔接，推动村务公开水平迈上新台阶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。</w:t>
      </w:r>
    </w:p>
    <w:p w14:paraId="3BA3955C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/>
          <w:kern w:val="0"/>
          <w:sz w:val="32"/>
          <w:szCs w:val="32"/>
          <w:shd w:val="clear" w:color="auto" w:fill="FFFFFF"/>
          <w:lang w:val="en-US" w:eastAsia="zh-CN" w:bidi="ar-SA"/>
        </w:rPr>
        <w:t>六、其它需要报告事项</w:t>
      </w:r>
    </w:p>
    <w:p w14:paraId="2F1682D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eastAsia="方正仿宋_GBK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按照《国务院办公厅关于印发&lt;政府信息公开信息处理费管理办法&gt;的通知》（国办函〔2020〕109号）规定的按件、按量收费标准，本年度没有产生信息公开处理费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2E40AA5-A6D1-449B-BD64-1E87CE926D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EBBFFF5-2804-4F5B-BC8B-73A4BA79B333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3" w:fontKey="{5F66ADE0-6EF5-48B4-88E3-243E0CC83657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6750C694-FEAA-4198-942D-94E36B80A5B2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375BA817-0CD1-4955-B369-8F776D925E1B}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  <w:embedRegular r:id="rId6" w:fontKey="{77EFBA62-E819-484C-AD11-8A4E2693797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7D35BC86-AD9D-4616-A9B1-A3E22F7CE94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68142BFD-B27B-4AD0-8243-B78DA66A82C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521365B-62B8-48C8-8565-26674731B1D3}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6C60FF2E-BFF9-44AD-ACF9-337518F2B91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Yu Gothic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Bahnschrift SemiBol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Gadugi">
    <w:panose1 w:val="020B0502040204020203"/>
    <w:charset w:val="00"/>
    <w:family w:val="auto"/>
    <w:pitch w:val="default"/>
    <w:sig w:usb0="80000003" w:usb1="02000000" w:usb2="00003000" w:usb3="00000000" w:csb0="00000001" w:csb1="00000000"/>
  </w:font>
  <w:font w:name="Kingsoft UE">
    <w:panose1 w:val="02000100010000000000"/>
    <w:charset w:val="00"/>
    <w:family w:val="auto"/>
    <w:pitch w:val="default"/>
    <w:sig w:usb0="00000001" w:usb1="00004000" w:usb2="00000000" w:usb3="00000000" w:csb0="00000001" w:csb1="00000000"/>
  </w:font>
  <w:font w:name="Microsoft Yi Baiti">
    <w:panose1 w:val="03000500000000000000"/>
    <w:charset w:val="00"/>
    <w:family w:val="auto"/>
    <w:pitch w:val="default"/>
    <w:sig w:usb0="80000003" w:usb1="00010402" w:usb2="00080002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Nirmala UI Semilight">
    <w:panose1 w:val="020B0402040204020203"/>
    <w:charset w:val="00"/>
    <w:family w:val="auto"/>
    <w:pitch w:val="default"/>
    <w:sig w:usb0="80FF8023" w:usb1="0200004A" w:usb2="00000200" w:usb3="0004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MS Mincho">
    <w:panose1 w:val="02020609040205080304"/>
    <w:charset w:val="80"/>
    <w:family w:val="auto"/>
    <w:pitch w:val="default"/>
    <w:sig w:usb0="A00002BF" w:usb1="68C7FCFB" w:usb2="00000010" w:usb3="00000000" w:csb0="4002009F" w:csb1="DFD7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Leelawadee UI Semilight">
    <w:panose1 w:val="020B0402040204020203"/>
    <w:charset w:val="00"/>
    <w:family w:val="auto"/>
    <w:pitch w:val="default"/>
    <w:sig w:usb0="83000003" w:usb1="00000000" w:usb2="00010000" w:usb3="00000001" w:csb0="000101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MS Reference Specialty">
    <w:panose1 w:val="05000500000000000000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11" w:fontKey="{539DDF1A-D17F-41EF-A1BB-78C03C373B2E}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dit="readOnly"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5A0748"/>
    <w:rsid w:val="00037067"/>
    <w:rsid w:val="00096702"/>
    <w:rsid w:val="000D19ED"/>
    <w:rsid w:val="000F36AB"/>
    <w:rsid w:val="00105CD3"/>
    <w:rsid w:val="001D4556"/>
    <w:rsid w:val="00211202"/>
    <w:rsid w:val="00284BD6"/>
    <w:rsid w:val="002F366D"/>
    <w:rsid w:val="003B0A9D"/>
    <w:rsid w:val="003D6656"/>
    <w:rsid w:val="003E4664"/>
    <w:rsid w:val="0040661D"/>
    <w:rsid w:val="004A1FA3"/>
    <w:rsid w:val="004D15FE"/>
    <w:rsid w:val="004E4399"/>
    <w:rsid w:val="005268E7"/>
    <w:rsid w:val="00547259"/>
    <w:rsid w:val="00586FEC"/>
    <w:rsid w:val="00591C34"/>
    <w:rsid w:val="005A78C9"/>
    <w:rsid w:val="005D1EE6"/>
    <w:rsid w:val="005E0415"/>
    <w:rsid w:val="005E0F35"/>
    <w:rsid w:val="00690FA5"/>
    <w:rsid w:val="00737C16"/>
    <w:rsid w:val="007A1731"/>
    <w:rsid w:val="007C5887"/>
    <w:rsid w:val="008E7361"/>
    <w:rsid w:val="008F42FB"/>
    <w:rsid w:val="00935B51"/>
    <w:rsid w:val="0094377E"/>
    <w:rsid w:val="00A75A41"/>
    <w:rsid w:val="00A80188"/>
    <w:rsid w:val="00AE505E"/>
    <w:rsid w:val="00B55450"/>
    <w:rsid w:val="00B85F0B"/>
    <w:rsid w:val="00BA2EE0"/>
    <w:rsid w:val="00BC7559"/>
    <w:rsid w:val="00C037CD"/>
    <w:rsid w:val="00C25372"/>
    <w:rsid w:val="00C314C6"/>
    <w:rsid w:val="00C60963"/>
    <w:rsid w:val="00C906A9"/>
    <w:rsid w:val="00C9444F"/>
    <w:rsid w:val="00CD6C06"/>
    <w:rsid w:val="00D12BBD"/>
    <w:rsid w:val="00D16F74"/>
    <w:rsid w:val="00D523A6"/>
    <w:rsid w:val="00D71AE4"/>
    <w:rsid w:val="00DA7722"/>
    <w:rsid w:val="00DE3879"/>
    <w:rsid w:val="00E103C0"/>
    <w:rsid w:val="00E17595"/>
    <w:rsid w:val="00E33B88"/>
    <w:rsid w:val="00F00056"/>
    <w:rsid w:val="00F13A9D"/>
    <w:rsid w:val="014D0B1B"/>
    <w:rsid w:val="03942A31"/>
    <w:rsid w:val="03EE7FF5"/>
    <w:rsid w:val="06412624"/>
    <w:rsid w:val="078A2181"/>
    <w:rsid w:val="08760957"/>
    <w:rsid w:val="09D771D4"/>
    <w:rsid w:val="0A410AF1"/>
    <w:rsid w:val="0A7B3358"/>
    <w:rsid w:val="0AE918B4"/>
    <w:rsid w:val="0C2F1549"/>
    <w:rsid w:val="0D116EA1"/>
    <w:rsid w:val="0D30618D"/>
    <w:rsid w:val="0D422ACD"/>
    <w:rsid w:val="0D613984"/>
    <w:rsid w:val="0D7457B1"/>
    <w:rsid w:val="0D907DC5"/>
    <w:rsid w:val="0DA04A6C"/>
    <w:rsid w:val="0E5434E9"/>
    <w:rsid w:val="0EDE34F4"/>
    <w:rsid w:val="0F8B2F3A"/>
    <w:rsid w:val="11D07A25"/>
    <w:rsid w:val="125D0185"/>
    <w:rsid w:val="12753A2E"/>
    <w:rsid w:val="144C07BE"/>
    <w:rsid w:val="14F41582"/>
    <w:rsid w:val="151B6B0E"/>
    <w:rsid w:val="199450E1"/>
    <w:rsid w:val="1A026273"/>
    <w:rsid w:val="1A5F749D"/>
    <w:rsid w:val="1BC8246E"/>
    <w:rsid w:val="1DCA254F"/>
    <w:rsid w:val="1E034B9A"/>
    <w:rsid w:val="20B76E06"/>
    <w:rsid w:val="21007335"/>
    <w:rsid w:val="22EF1D4E"/>
    <w:rsid w:val="24003A12"/>
    <w:rsid w:val="27750300"/>
    <w:rsid w:val="295A0748"/>
    <w:rsid w:val="2A99142A"/>
    <w:rsid w:val="2D6F35DC"/>
    <w:rsid w:val="2DD20387"/>
    <w:rsid w:val="2DF301D1"/>
    <w:rsid w:val="2E8F766D"/>
    <w:rsid w:val="2EB404F8"/>
    <w:rsid w:val="2FC55B9D"/>
    <w:rsid w:val="31CB6D6E"/>
    <w:rsid w:val="31CD40BC"/>
    <w:rsid w:val="31D245A1"/>
    <w:rsid w:val="32212014"/>
    <w:rsid w:val="329F4483"/>
    <w:rsid w:val="3392652C"/>
    <w:rsid w:val="33DE2D76"/>
    <w:rsid w:val="34140EA1"/>
    <w:rsid w:val="34166DBC"/>
    <w:rsid w:val="34EE483D"/>
    <w:rsid w:val="35907237"/>
    <w:rsid w:val="35E8670E"/>
    <w:rsid w:val="36A4650C"/>
    <w:rsid w:val="36AE19B7"/>
    <w:rsid w:val="37660D8E"/>
    <w:rsid w:val="37DA41AF"/>
    <w:rsid w:val="392B4CC2"/>
    <w:rsid w:val="39924349"/>
    <w:rsid w:val="39934616"/>
    <w:rsid w:val="3A4B3142"/>
    <w:rsid w:val="3A756CB9"/>
    <w:rsid w:val="3DCB0822"/>
    <w:rsid w:val="3E24593D"/>
    <w:rsid w:val="3F8A2017"/>
    <w:rsid w:val="3F9C0FC1"/>
    <w:rsid w:val="406F2F80"/>
    <w:rsid w:val="41707465"/>
    <w:rsid w:val="428B0580"/>
    <w:rsid w:val="43353FDF"/>
    <w:rsid w:val="43794E51"/>
    <w:rsid w:val="43BC3141"/>
    <w:rsid w:val="44573C8E"/>
    <w:rsid w:val="445F7F16"/>
    <w:rsid w:val="453C2005"/>
    <w:rsid w:val="45F60406"/>
    <w:rsid w:val="46D153D3"/>
    <w:rsid w:val="482E032B"/>
    <w:rsid w:val="48362D3C"/>
    <w:rsid w:val="49461866"/>
    <w:rsid w:val="499E328F"/>
    <w:rsid w:val="4A443658"/>
    <w:rsid w:val="4AA53123"/>
    <w:rsid w:val="4CEF3E20"/>
    <w:rsid w:val="4DEF5E18"/>
    <w:rsid w:val="4E233D62"/>
    <w:rsid w:val="4E28581D"/>
    <w:rsid w:val="512F6EC2"/>
    <w:rsid w:val="51613934"/>
    <w:rsid w:val="51CE73F6"/>
    <w:rsid w:val="51F173C9"/>
    <w:rsid w:val="53195734"/>
    <w:rsid w:val="53841646"/>
    <w:rsid w:val="551A5D15"/>
    <w:rsid w:val="57B256A6"/>
    <w:rsid w:val="58173CC7"/>
    <w:rsid w:val="59096C18"/>
    <w:rsid w:val="59883BD8"/>
    <w:rsid w:val="59D77699"/>
    <w:rsid w:val="5C0351D3"/>
    <w:rsid w:val="5C0D1E93"/>
    <w:rsid w:val="5D437FD2"/>
    <w:rsid w:val="5D4D2BAA"/>
    <w:rsid w:val="5E033269"/>
    <w:rsid w:val="5E361890"/>
    <w:rsid w:val="5FB0128C"/>
    <w:rsid w:val="60C413D5"/>
    <w:rsid w:val="60FB0065"/>
    <w:rsid w:val="63C416EC"/>
    <w:rsid w:val="64D44594"/>
    <w:rsid w:val="65506D17"/>
    <w:rsid w:val="65D57AA8"/>
    <w:rsid w:val="67635866"/>
    <w:rsid w:val="687E630D"/>
    <w:rsid w:val="697414BE"/>
    <w:rsid w:val="6A3F7D1E"/>
    <w:rsid w:val="6AC63F9C"/>
    <w:rsid w:val="6B547844"/>
    <w:rsid w:val="6D97577B"/>
    <w:rsid w:val="6FA523D2"/>
    <w:rsid w:val="70D6480D"/>
    <w:rsid w:val="713F0604"/>
    <w:rsid w:val="71926986"/>
    <w:rsid w:val="758D55FA"/>
    <w:rsid w:val="77A77A87"/>
    <w:rsid w:val="78511348"/>
    <w:rsid w:val="787E1A12"/>
    <w:rsid w:val="7B193C74"/>
    <w:rsid w:val="7BD81D81"/>
    <w:rsid w:val="7C7F29CF"/>
    <w:rsid w:val="7CA05066"/>
    <w:rsid w:val="7D23702C"/>
    <w:rsid w:val="7F587B6B"/>
    <w:rsid w:val="7F922A21"/>
    <w:rsid w:val="7FBD4387"/>
    <w:rsid w:val="7FD9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spacing w:beforeAutospacing="1" w:afterAutospacing="1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character" w:styleId="6">
    <w:name w:val="annotation reference"/>
    <w:basedOn w:val="5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1438</Words>
  <Characters>1474</Characters>
  <Lines>23</Lines>
  <Paragraphs>6</Paragraphs>
  <TotalTime>32</TotalTime>
  <ScaleCrop>false</ScaleCrop>
  <LinksUpToDate>false</LinksUpToDate>
  <CharactersWithSpaces>1487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2025-01-07T08:21:00Z</dcterms:created>
  <dc:creator>飞跃帕拉迪</dc:creator>
  <cp:lastModifiedBy>飞跃帕拉迪</cp:lastModifiedBy>
  <dcterms:modified xsi:type="dcterms:W3CDTF">2025-03-20T03:09:27Z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66D71C1552294FEE837EE51F6425BAD5_13</vt:lpwstr>
  </property>
  <property fmtid="{D5CDD505-2E9C-101B-9397-08002B2CF9AE}" pid="4" name="KSOTemplateDocerSaveRecord">
    <vt:lpwstr>eyJoZGlkIjoiZjMyNzA1YTkzYjA2MWRiNGU5NzEwMTUxMWQ5MzI5ZjAiLCJ1c2VySWQiOiI1MjUzNzA4MTQifQ==</vt:lpwstr>
  </property>
</Properties>
</file>