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78915">
      <w:pPr>
        <w:spacing w:before="156" w:beforeLines="50" w:after="156" w:afterLines="50"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起草说明</w:t>
      </w:r>
    </w:p>
    <w:p w14:paraId="0EBB0748">
      <w:pPr>
        <w:spacing w:line="360" w:lineRule="auto"/>
        <w:ind w:firstLine="560" w:firstLineChars="200"/>
        <w:outlineLvl w:val="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一、起草背景</w:t>
      </w:r>
    </w:p>
    <w:p w14:paraId="15A7F821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2021年3月，十三届全国人大四次会议审议通过的《中华人民共和国国民经济和社会发展第十四个五年规划和2035年远景目标纲要》中明确提出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“推进大中型灌区节水改造和精细化管理，建设节水灌溉骨干工程，同步推进水价综合改革”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。为深入贯彻党中央、国务院决策部署，确保金安区规划范围内灌区的良性发展，保障粮食安全和农产品有效供给，助推农村产业发展与乡村振兴，金安区水利局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、农业农村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lang w:eastAsia="zh-CN"/>
        </w:rPr>
        <w:t>局</w:t>
      </w:r>
      <w:bookmarkStart w:id="0" w:name="_GoBack"/>
      <w:bookmarkEnd w:id="0"/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采用特许经营模式实施淠史杭灌区（金安灌片）现代化高效节水灌区及高标准农田建设项目。</w:t>
      </w:r>
    </w:p>
    <w:p w14:paraId="79BE627D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2023年11月，国务院办公厅转发国家发展改革委、财政部《关于规范实施政府和社会资本合作新机制的指导意见》的通知（国办函〔2023〕115号），要求“对拟采取特许经营模式实施的项目，项目实施机构应参照可行性研究报告编写规范，牵头编制特许经营方案”。为严格贯彻落实特许经营相关政策文件要求，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金安区水利局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、农业农村局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组织编制《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淠史杭灌区（金安灌片）现代化高效节水灌区及高标准农田建设项目实施方案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》（以下简称《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实施方案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》）。</w:t>
      </w:r>
    </w:p>
    <w:p w14:paraId="6FADA94B">
      <w:pPr>
        <w:spacing w:line="360" w:lineRule="auto"/>
        <w:ind w:firstLine="560" w:firstLineChars="200"/>
        <w:outlineLvl w:val="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二、起草过程</w:t>
      </w:r>
    </w:p>
    <w:p w14:paraId="7E355BBA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1、2024年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7月-8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月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，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区水利局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、农业农村局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向安徽省淠史杭灌区管理总局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、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各乡镇、街道办事处、区直各单位征求意见，期间安徽省淠史杭灌区管理总局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、区发改委、区生态环境分局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等单位反馈修改意见。在此基础上形成了《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实施方案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》（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评审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稿）。</w:t>
      </w:r>
    </w:p>
    <w:p w14:paraId="6F9FADDE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2、2024年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8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月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25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日，区水利局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、农业农村局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组织召开《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实施方案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》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专家评审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会。会上提出完善大修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及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更新重置的相关界定边界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、完善农业经营收益收入测算的相关依据、完善高标准农田建设子项的建设标准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等修改意见。经修改完善形成了《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实施方案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》（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报批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稿）。</w:t>
      </w:r>
    </w:p>
    <w:p w14:paraId="3BFC7C3C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3、2024年10月21日，区发改委批复同意《实施方案》。</w:t>
      </w:r>
    </w:p>
    <w:p w14:paraId="5A1B8F4E">
      <w:pPr>
        <w:spacing w:line="360" w:lineRule="auto"/>
        <w:ind w:firstLine="560" w:firstLineChars="200"/>
        <w:outlineLvl w:val="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三、工作思路和编制原则</w:t>
      </w:r>
    </w:p>
    <w:p w14:paraId="3F58663B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以习近平新时代中国特色社会主义思想为指导，深入落实“节水优先、空间均衡、系统治理、两手发力”的治水新思路和“水利工程补短板、水利行业强监管”的水利改革发展总基调，全面开启水利现代化新征程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。《实施方案》围绕灌区对地方经济社会支撑，全面规划工程体系、管理体系，实现灌区“节水、生态、高效、智慧、共享”的宏伟目标。</w:t>
      </w:r>
    </w:p>
    <w:p w14:paraId="12233935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以国家“十四五”规划为指导，推进大中型灌区节水改造和精细化管理，建设节水灌溉骨干工程，为农业生产提供水利基础支撑，关键时刻更要体现“保粮食安全”的托底功能，着力打造“旱能灌、涝能排、渍能降、田方正、土肥沃”的高标准农田，为地区粮食安全保驾护航。《实施方案》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立足金安区实际，通过现代化改造实施范围内的部分骨干工程以及高标准农田建设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，在金安区打造出一个“设施完善、节水高效、管理科学、生态良好”的现代化灌区，确保金安区规划范围内灌区的良性发展，保障粮食安全和农产品有效供给，助推农村产业发展与乡村振兴。</w:t>
      </w:r>
    </w:p>
    <w:p w14:paraId="3978877F">
      <w:pPr>
        <w:spacing w:line="360" w:lineRule="auto"/>
        <w:ind w:firstLine="560" w:firstLineChars="200"/>
        <w:outlineLvl w:val="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四、主要内容</w:t>
      </w:r>
    </w:p>
    <w:p w14:paraId="1A729A06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《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实施方案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》共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六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章，具体为：</w:t>
      </w:r>
    </w:p>
    <w:p w14:paraId="27A0FF0F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第一章主要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说明《实施方案》的编制依据和编制原则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。</w:t>
      </w:r>
    </w:p>
    <w:p w14:paraId="4BE5BA93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第二章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阐述项目概况，主要包括建设内容、投资规模、资金来源、实施机构及出资代表、特性经营内容、政府承诺及保障等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。</w:t>
      </w:r>
    </w:p>
    <w:p w14:paraId="27DF05DC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第三章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分析论证项目可行性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。</w:t>
      </w:r>
    </w:p>
    <w:p w14:paraId="7878C446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第四章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分析论证特许经营模式可行性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。</w:t>
      </w:r>
    </w:p>
    <w:p w14:paraId="44035CF8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第五章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阐述特许经营主要内容，主要包括特许经营范围、实施方式、回报机制、期限、资产权属、合作边界、特许经营者选择、交易结构与投资结构、监督管理和运营评价、风险管控、调整变更等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。</w:t>
      </w:r>
    </w:p>
    <w:p w14:paraId="61738085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第六章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</w:rPr>
        <w:t>说明研究结论、问题和建议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。</w:t>
      </w:r>
    </w:p>
    <w:p w14:paraId="414C91E7">
      <w:pPr>
        <w:spacing w:line="360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D7B3E7"/>
    <w:rsid w:val="0032307C"/>
    <w:rsid w:val="00444844"/>
    <w:rsid w:val="005144CB"/>
    <w:rsid w:val="008A1506"/>
    <w:rsid w:val="0EF3AB4C"/>
    <w:rsid w:val="1D1D63D2"/>
    <w:rsid w:val="1F5A49D8"/>
    <w:rsid w:val="3ECD032F"/>
    <w:rsid w:val="6FFAD585"/>
    <w:rsid w:val="7CFE87AC"/>
    <w:rsid w:val="7FD7B3E7"/>
    <w:rsid w:val="B74F58C4"/>
    <w:rsid w:val="BD3C6D29"/>
    <w:rsid w:val="E8DF7407"/>
    <w:rsid w:val="EBDFBEC6"/>
    <w:rsid w:val="FF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1331</Words>
  <Characters>1359</Characters>
  <Lines>27</Lines>
  <Paragraphs>19</Paragraphs>
  <TotalTime>5</TotalTime>
  <ScaleCrop>false</ScaleCrop>
  <LinksUpToDate>false</LinksUpToDate>
  <CharactersWithSpaces>1359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2025-04-02T07:50:00Z</dcterms:created>
  <dc:creator>卡皮巴拉</dc:creator>
  <cp:lastModifiedBy>墨韵留香</cp:lastModifiedBy>
  <dcterms:modified xsi:type="dcterms:W3CDTF">2025-04-03T00:38:02Z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45CF0E1024084193BD512921A2F87A35_13</vt:lpwstr>
  </property>
  <property fmtid="{D5CDD505-2E9C-101B-9397-08002B2CF9AE}" pid="4" name="KSOTemplateDocerSaveRecord">
    <vt:lpwstr>eyJoZGlkIjoiOWIwNGY0ZGE3NzJmY2JmODdkNzg2YTc0Y2IzMTI4YzQiLCJ1c2VySWQiOiIzMzc1MzIxNTYifQ==</vt:lpwstr>
  </property>
</Properties>
</file>