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B6043">
      <w:pPr>
        <w:spacing w:line="560" w:lineRule="exact"/>
        <w:rPr>
          <w:rFonts w:hint="eastAsia" w:ascii="仿宋_GB2312" w:eastAsia="仿宋_GB2312"/>
          <w:sz w:val="32"/>
          <w:szCs w:val="32"/>
        </w:rPr>
      </w:pPr>
      <w:bookmarkStart w:id="2" w:name="_GoBack"/>
      <w:bookmarkEnd w:id="2"/>
      <w:r>
        <w:rPr>
          <w:rFonts w:hint="eastAsia"/>
        </w:rPr>
        <w:t xml:space="preserve">                                  </w:t>
      </w:r>
    </w:p>
    <w:p w14:paraId="78385A73">
      <w:pPr>
        <w:keepNext w:val="0"/>
        <w:keepLines w:val="0"/>
        <w:pageBreakBefore w:val="0"/>
        <w:widowControl w:val="0"/>
        <w:kinsoku/>
        <w:wordWrap/>
        <w:overflowPunct/>
        <w:topLinePunct w:val="0"/>
        <w:autoSpaceDE/>
        <w:autoSpaceDN/>
        <w:bidi w:val="0"/>
        <w:adjustRightInd/>
        <w:snapToGrid/>
        <w:spacing w:before="24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关于安徽曼盛年产60000万套塑料包装项目环境影响报告表的批复</w:t>
      </w:r>
    </w:p>
    <w:p w14:paraId="530688FC">
      <w:pPr>
        <w:pStyle w:val="11"/>
        <w:keepNext w:val="0"/>
        <w:keepLines w:val="0"/>
        <w:pageBreakBefore w:val="0"/>
        <w:kinsoku/>
        <w:overflowPunct/>
        <w:topLinePunct w:val="0"/>
        <w:bidi w:val="0"/>
        <w:snapToGrid/>
        <w:spacing w:after="0" w:line="560" w:lineRule="exact"/>
        <w:textAlignment w:val="auto"/>
        <w:rPr>
          <w:rFonts w:hint="default" w:ascii="Times New Roman" w:hAnsi="Times New Roman" w:cs="Times New Roman"/>
          <w:color w:val="auto"/>
        </w:rPr>
      </w:pPr>
    </w:p>
    <w:p w14:paraId="5CE04D95">
      <w:pPr>
        <w:keepNext w:val="0"/>
        <w:keepLines w:val="0"/>
        <w:pageBreakBefore w:val="0"/>
        <w:widowControl/>
        <w:kinsoku/>
        <w:wordWrap w:val="0"/>
        <w:overflowPunct/>
        <w:topLinePunct w:val="0"/>
        <w:bidi w:val="0"/>
        <w:snapToGrid/>
        <w:spacing w:line="56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安徽</w:t>
      </w:r>
      <w:r>
        <w:rPr>
          <w:rFonts w:hint="eastAsia" w:eastAsia="仿宋_GB2312" w:cs="Times New Roman"/>
          <w:color w:val="auto"/>
          <w:kern w:val="0"/>
          <w:sz w:val="32"/>
          <w:szCs w:val="32"/>
          <w:lang w:val="en-US" w:eastAsia="zh-CN"/>
        </w:rPr>
        <w:t>曼盛</w:t>
      </w:r>
      <w:r>
        <w:rPr>
          <w:rFonts w:hint="default" w:ascii="Times New Roman" w:hAnsi="Times New Roman" w:eastAsia="仿宋_GB2312" w:cs="Times New Roman"/>
          <w:color w:val="auto"/>
          <w:kern w:val="0"/>
          <w:sz w:val="32"/>
          <w:szCs w:val="32"/>
          <w:lang w:val="en-US" w:eastAsia="zh-CN"/>
        </w:rPr>
        <w:t>包装有限公司</w:t>
      </w:r>
      <w:r>
        <w:rPr>
          <w:rFonts w:hint="default" w:ascii="Times New Roman" w:hAnsi="Times New Roman" w:eastAsia="仿宋_GB2312" w:cs="Times New Roman"/>
          <w:color w:val="auto"/>
          <w:kern w:val="0"/>
          <w:sz w:val="32"/>
          <w:szCs w:val="32"/>
        </w:rPr>
        <w:t>：</w:t>
      </w:r>
    </w:p>
    <w:p w14:paraId="2EB8B324">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你单位报来《安徽曼盛年产60000万套塑料包装项目环境影响评价报告表》（以下简称《报告表》）及有关材料收悉。</w:t>
      </w:r>
      <w:r>
        <w:rPr>
          <w:rFonts w:hint="default" w:ascii="Times New Roman" w:hAnsi="Times New Roman" w:eastAsia="仿宋_GB2312" w:cs="Times New Roman"/>
          <w:color w:val="auto"/>
          <w:kern w:val="0"/>
          <w:sz w:val="32"/>
          <w:szCs w:val="32"/>
          <w:lang w:val="en-US" w:eastAsia="zh-CN"/>
        </w:rPr>
        <w:t>该项目</w:t>
      </w:r>
      <w:r>
        <w:rPr>
          <w:rFonts w:hint="eastAsia" w:ascii="Times New Roman" w:hAnsi="Times New Roman" w:eastAsia="仿宋_GB2312" w:cs="Times New Roman"/>
          <w:color w:val="auto"/>
          <w:kern w:val="0"/>
          <w:sz w:val="32"/>
          <w:szCs w:val="32"/>
          <w:lang w:val="en-US" w:eastAsia="zh-CN"/>
        </w:rPr>
        <w:t>总投资11000万元，占地30.68亩，</w:t>
      </w:r>
      <w:r>
        <w:rPr>
          <w:rFonts w:hint="default" w:ascii="Times New Roman" w:hAnsi="Times New Roman" w:eastAsia="仿宋_GB2312" w:cs="Times New Roman"/>
          <w:color w:val="auto"/>
          <w:kern w:val="0"/>
          <w:sz w:val="32"/>
          <w:szCs w:val="32"/>
          <w:lang w:val="en-US" w:eastAsia="zh-CN"/>
        </w:rPr>
        <w:t>新建1栋厂房，1栋综合楼，建设包装制品生产线，主要从事食品包装产品、医用包装产品、日化包装产品、化妆品包装产品生产，项目建成后可</w:t>
      </w:r>
      <w:r>
        <w:rPr>
          <w:rFonts w:hint="eastAsia" w:eastAsia="仿宋_GB2312" w:cs="Times New Roman"/>
          <w:color w:val="auto"/>
          <w:kern w:val="0"/>
          <w:sz w:val="32"/>
          <w:szCs w:val="32"/>
          <w:lang w:val="en-US" w:eastAsia="zh-CN"/>
        </w:rPr>
        <w:t>形成</w:t>
      </w:r>
      <w:r>
        <w:rPr>
          <w:rFonts w:hint="default" w:ascii="Times New Roman" w:hAnsi="Times New Roman" w:eastAsia="仿宋_GB2312" w:cs="Times New Roman"/>
          <w:color w:val="auto"/>
          <w:kern w:val="0"/>
          <w:sz w:val="32"/>
          <w:szCs w:val="32"/>
          <w:lang w:val="en-US" w:eastAsia="zh-CN"/>
        </w:rPr>
        <w:t>年产60000万件包装制品的生产能力。该项目已经六安金安经济开发区</w:t>
      </w:r>
      <w:r>
        <w:rPr>
          <w:rFonts w:hint="eastAsia" w:eastAsia="仿宋_GB2312" w:cs="Times New Roman"/>
          <w:color w:val="auto"/>
          <w:kern w:val="0"/>
          <w:sz w:val="32"/>
          <w:szCs w:val="32"/>
          <w:lang w:val="en-US" w:eastAsia="zh-CN"/>
        </w:rPr>
        <w:t>经济发展局</w:t>
      </w:r>
      <w:r>
        <w:rPr>
          <w:rFonts w:hint="default" w:ascii="Times New Roman" w:hAnsi="Times New Roman" w:eastAsia="仿宋_GB2312" w:cs="Times New Roman"/>
          <w:color w:val="auto"/>
          <w:kern w:val="0"/>
          <w:sz w:val="32"/>
          <w:szCs w:val="32"/>
          <w:lang w:val="en-US" w:eastAsia="zh-CN"/>
        </w:rPr>
        <w:t>备案，项目代码为：（2406-341574-04-05-592293），根据《中华人民共和国环境影响评价法》等有关法律规定和专家评审意见，现批复如下：</w:t>
      </w:r>
    </w:p>
    <w:p w14:paraId="21DFB352">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一、在全面落实《报告表》提出的各项环境保护措施的前提下，从环境保护角度，我局同意你单位按《报告表》所列建设项目的性质、规模、地点、工艺以及污染防治措施进行建设。</w:t>
      </w:r>
    </w:p>
    <w:p w14:paraId="39F14508">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二、建设单位要采取措施加强施工期的环境管理，根据《安徽省建筑工程施工和预拌混凝土生产扬尘污染防治标准》要求，切实做好以下工作：</w:t>
      </w:r>
    </w:p>
    <w:p w14:paraId="68F56F28">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（一）合理安排施工时间，禁止午休（12:00—14:00）、夜间（22：00-次日6:00）施工，确因特殊需要须连续作业的，必须有县级以上人民政府或者其有关主管部门的证明并向周围群众公示后才能施工。</w:t>
      </w:r>
    </w:p>
    <w:p w14:paraId="2129D43B">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（二）施工期建筑废水经沉淀池处理后回用于施工，严禁乱倒乱排，防止污染水环境。施工期生活污水经化粪池处理后</w:t>
      </w:r>
      <w:r>
        <w:rPr>
          <w:rFonts w:hint="eastAsia" w:eastAsia="仿宋_GB2312" w:cs="Times New Roman"/>
          <w:color w:val="auto"/>
          <w:kern w:val="0"/>
          <w:sz w:val="32"/>
          <w:szCs w:val="32"/>
          <w:lang w:val="en-US" w:eastAsia="zh-CN"/>
        </w:rPr>
        <w:t>定期清掏</w:t>
      </w:r>
      <w:r>
        <w:rPr>
          <w:rFonts w:hint="default" w:ascii="Times New Roman" w:hAnsi="Times New Roman" w:eastAsia="仿宋_GB2312" w:cs="Times New Roman"/>
          <w:color w:val="auto"/>
          <w:kern w:val="0"/>
          <w:sz w:val="32"/>
          <w:szCs w:val="32"/>
          <w:lang w:val="en-US" w:eastAsia="zh-CN"/>
        </w:rPr>
        <w:t>。</w:t>
      </w:r>
    </w:p>
    <w:p w14:paraId="2A8658DE">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（三）施工场地要采取四周设置围挡、洒水、覆盖防尘网等防尘措施，做到施工现场扬尘治理“六个百分之百”，尽可能减少扬尘对周围环境的污染。</w:t>
      </w:r>
    </w:p>
    <w:p w14:paraId="71C57855">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（四）施工过程中产生的弃土碎石尽可能合理回填利用，不能回填利用的，要及时清运到政府部门规定的场所处置，不得随意倾倒、堆放。</w:t>
      </w:r>
    </w:p>
    <w:p w14:paraId="3158CB7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（五）施工过程中必须采取合理安排施工时间，采取拦挡、地面硬化等有效措施防治水土流失。</w:t>
      </w:r>
    </w:p>
    <w:p w14:paraId="44F174A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三、项目投产后,要认真落实《报告表》中提出的各项环境保护措施，并切实做好以下工作：</w:t>
      </w:r>
    </w:p>
    <w:p w14:paraId="2092FCA5">
      <w:pPr>
        <w:pStyle w:val="42"/>
        <w:spacing w:line="360" w:lineRule="auto"/>
        <w:ind w:firstLine="640" w:firstLineChars="200"/>
        <w:jc w:val="both"/>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rPr>
        <w:t>（一）原则同意《报告表</w:t>
      </w:r>
      <w:r>
        <w:rPr>
          <w:rFonts w:hint="default" w:ascii="Times New Roman" w:hAnsi="Times New Roman" w:eastAsia="仿宋_GB2312" w:cs="Times New Roman"/>
          <w:color w:val="auto"/>
          <w:kern w:val="0"/>
          <w:sz w:val="32"/>
          <w:szCs w:val="32"/>
          <w:lang w:val="en-GB" w:eastAsia="zh-CN"/>
        </w:rPr>
        <w:t>》提出的废气处</w:t>
      </w:r>
      <w:r>
        <w:rPr>
          <w:rFonts w:hint="default" w:ascii="Times New Roman" w:hAnsi="Times New Roman" w:eastAsia="仿宋_GB2312" w:cs="Times New Roman"/>
          <w:color w:val="auto"/>
          <w:kern w:val="0"/>
          <w:sz w:val="32"/>
          <w:szCs w:val="32"/>
          <w:lang w:val="en-US" w:eastAsia="zh-CN"/>
        </w:rPr>
        <w:t>理方案。</w:t>
      </w:r>
      <w:r>
        <w:rPr>
          <w:rFonts w:hint="eastAsia" w:ascii="Times New Roman" w:hAnsi="Times New Roman" w:eastAsia="仿宋_GB2312" w:cs="Times New Roman"/>
          <w:color w:val="auto"/>
          <w:kern w:val="0"/>
          <w:sz w:val="32"/>
          <w:szCs w:val="32"/>
          <w:lang w:val="en-US" w:eastAsia="zh-CN" w:bidi="ar-SA"/>
        </w:rPr>
        <w:t>印刷、擦拭废气通过区域封闭负压收集后与注塑废气经集气罩收集</w:t>
      </w:r>
      <w:r>
        <w:rPr>
          <w:rFonts w:hint="eastAsia" w:ascii="Times New Roman" w:eastAsia="仿宋_GB2312" w:cs="Times New Roman"/>
          <w:color w:val="auto"/>
          <w:kern w:val="0"/>
          <w:sz w:val="32"/>
          <w:szCs w:val="32"/>
          <w:lang w:val="en-US" w:eastAsia="zh-CN" w:bidi="ar-SA"/>
        </w:rPr>
        <w:t>后</w:t>
      </w:r>
      <w:r>
        <w:rPr>
          <w:rFonts w:hint="eastAsia" w:ascii="Times New Roman" w:hAnsi="Times New Roman" w:eastAsia="仿宋_GB2312" w:cs="Times New Roman"/>
          <w:color w:val="auto"/>
          <w:kern w:val="0"/>
          <w:sz w:val="32"/>
          <w:szCs w:val="32"/>
          <w:lang w:val="en-US" w:eastAsia="zh-CN" w:bidi="ar-SA"/>
        </w:rPr>
        <w:t>一同引入一套二级活性炭吸附装置处理后再经1根1</w:t>
      </w:r>
      <w:r>
        <w:rPr>
          <w:rFonts w:hint="eastAsia" w:ascii="Times New Roman" w:eastAsia="仿宋_GB2312" w:cs="Times New Roman"/>
          <w:color w:val="auto"/>
          <w:kern w:val="0"/>
          <w:sz w:val="32"/>
          <w:szCs w:val="32"/>
          <w:lang w:val="en-US" w:eastAsia="zh-CN" w:bidi="ar-SA"/>
        </w:rPr>
        <w:t>8</w:t>
      </w:r>
      <w:r>
        <w:rPr>
          <w:rFonts w:hint="eastAsia" w:ascii="Times New Roman" w:hAnsi="Times New Roman" w:eastAsia="仿宋_GB2312" w:cs="Times New Roman"/>
          <w:color w:val="auto"/>
          <w:kern w:val="0"/>
          <w:sz w:val="32"/>
          <w:szCs w:val="32"/>
          <w:lang w:val="en-US" w:eastAsia="zh-CN" w:bidi="ar-SA"/>
        </w:rPr>
        <w:t>m高排气筒排放，因此非甲烷总烃、乙醛有组织、厂区内排放限值</w:t>
      </w:r>
      <w:bookmarkStart w:id="0" w:name="OLE_LINK2"/>
      <w:r>
        <w:rPr>
          <w:rFonts w:hint="eastAsia" w:ascii="Times New Roman" w:hAnsi="Times New Roman" w:eastAsia="仿宋_GB2312" w:cs="Times New Roman"/>
          <w:color w:val="auto"/>
          <w:kern w:val="0"/>
          <w:sz w:val="32"/>
          <w:szCs w:val="32"/>
          <w:lang w:val="en-US" w:eastAsia="zh-CN" w:bidi="ar-SA"/>
        </w:rPr>
        <w:t>从严执行</w:t>
      </w:r>
      <w:bookmarkEnd w:id="0"/>
      <w:r>
        <w:rPr>
          <w:rFonts w:hint="eastAsia" w:ascii="Times New Roman" w:hAnsi="Times New Roman" w:eastAsia="仿宋_GB2312" w:cs="Times New Roman"/>
          <w:color w:val="auto"/>
          <w:kern w:val="0"/>
          <w:sz w:val="32"/>
          <w:szCs w:val="32"/>
          <w:lang w:val="en-US" w:eastAsia="zh-CN" w:bidi="ar-SA"/>
        </w:rPr>
        <w:t>，其主要污染物排放须满足《固定源挥发性有机物综合排放标准 第6部分：其他工业》（DB34/4812.6-2024）中相关排放限值要求。厂界非甲烷总烃排放执行《合成树脂工业污染物排放标准》（GB31572-2015）中表9企业边界大气污染物浓度限值。</w:t>
      </w:r>
    </w:p>
    <w:p w14:paraId="1560B410">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（二）项目厂区须实行雨污分流。</w:t>
      </w:r>
      <w:r>
        <w:rPr>
          <w:rFonts w:hint="eastAsia" w:eastAsia="仿宋_GB2312" w:cs="Times New Roman"/>
          <w:color w:val="auto"/>
          <w:kern w:val="0"/>
          <w:sz w:val="32"/>
          <w:szCs w:val="32"/>
          <w:lang w:val="en-US" w:eastAsia="zh-CN"/>
        </w:rPr>
        <w:t>生活污水</w:t>
      </w:r>
      <w:r>
        <w:rPr>
          <w:rFonts w:hint="eastAsia" w:ascii="Times New Roman" w:hAnsi="Times New Roman" w:eastAsia="仿宋_GB2312" w:cs="Times New Roman"/>
          <w:color w:val="auto"/>
          <w:kern w:val="0"/>
          <w:sz w:val="32"/>
          <w:szCs w:val="32"/>
          <w:lang w:val="en-US" w:eastAsia="zh-CN"/>
        </w:rPr>
        <w:t>经化粪池处理后</w:t>
      </w:r>
      <w:r>
        <w:rPr>
          <w:rFonts w:hint="eastAsia" w:eastAsia="仿宋_GB2312" w:cs="Times New Roman"/>
          <w:color w:val="auto"/>
          <w:kern w:val="0"/>
          <w:sz w:val="32"/>
          <w:szCs w:val="32"/>
          <w:lang w:val="en-US" w:eastAsia="zh-CN"/>
        </w:rPr>
        <w:t>与循环冷却水</w:t>
      </w:r>
      <w:r>
        <w:rPr>
          <w:rFonts w:hint="eastAsia" w:ascii="Times New Roman" w:hAnsi="Times New Roman" w:eastAsia="仿宋_GB2312" w:cs="Times New Roman"/>
          <w:color w:val="auto"/>
          <w:kern w:val="0"/>
          <w:sz w:val="32"/>
          <w:szCs w:val="32"/>
          <w:lang w:val="en-US" w:eastAsia="zh-CN"/>
        </w:rPr>
        <w:t>一同接入市政污水管网，</w:t>
      </w:r>
      <w:r>
        <w:rPr>
          <w:rFonts w:hint="eastAsia" w:eastAsia="仿宋_GB2312" w:cs="Times New Roman"/>
          <w:color w:val="auto"/>
          <w:kern w:val="0"/>
          <w:sz w:val="32"/>
          <w:szCs w:val="32"/>
          <w:lang w:val="en-US" w:eastAsia="zh-CN"/>
        </w:rPr>
        <w:t>其废水中主要污染物</w:t>
      </w:r>
      <w:r>
        <w:rPr>
          <w:rFonts w:hint="eastAsia" w:ascii="Times New Roman" w:hAnsi="Times New Roman" w:eastAsia="仿宋_GB2312" w:cs="Times New Roman"/>
          <w:color w:val="auto"/>
          <w:kern w:val="0"/>
          <w:sz w:val="32"/>
          <w:szCs w:val="32"/>
          <w:lang w:val="en-US" w:eastAsia="zh-CN"/>
        </w:rPr>
        <w:t>满足东部新城污水处理厂接管标准后，</w:t>
      </w:r>
      <w:r>
        <w:rPr>
          <w:rFonts w:hint="eastAsia" w:eastAsia="仿宋_GB2312" w:cs="Times New Roman"/>
          <w:color w:val="auto"/>
          <w:kern w:val="0"/>
          <w:sz w:val="32"/>
          <w:szCs w:val="32"/>
          <w:lang w:val="en-US" w:eastAsia="zh-CN"/>
        </w:rPr>
        <w:t>再</w:t>
      </w:r>
      <w:r>
        <w:rPr>
          <w:rFonts w:hint="eastAsia" w:ascii="Times New Roman" w:hAnsi="Times New Roman" w:eastAsia="仿宋_GB2312" w:cs="Times New Roman"/>
          <w:color w:val="auto"/>
          <w:kern w:val="0"/>
          <w:sz w:val="32"/>
          <w:szCs w:val="32"/>
          <w:lang w:val="en-US" w:eastAsia="zh-CN"/>
        </w:rPr>
        <w:t>进入东部新城污水处理厂集中处理。</w:t>
      </w:r>
    </w:p>
    <w:p w14:paraId="33AB7FB2">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GB" w:eastAsia="zh-CN"/>
        </w:rPr>
      </w:pPr>
      <w:r>
        <w:rPr>
          <w:rFonts w:hint="default" w:ascii="Times New Roman" w:hAnsi="Times New Roman" w:eastAsia="仿宋_GB2312" w:cs="Times New Roman"/>
          <w:color w:val="auto"/>
          <w:kern w:val="0"/>
          <w:sz w:val="32"/>
          <w:szCs w:val="32"/>
          <w:lang w:val="en-GB" w:eastAsia="zh-CN"/>
        </w:rPr>
        <w:t>（</w:t>
      </w:r>
      <w:r>
        <w:rPr>
          <w:rFonts w:hint="default" w:ascii="Times New Roman" w:hAnsi="Times New Roman" w:eastAsia="仿宋_GB2312" w:cs="Times New Roman"/>
          <w:color w:val="auto"/>
          <w:kern w:val="0"/>
          <w:sz w:val="32"/>
          <w:szCs w:val="32"/>
          <w:lang w:val="en-US" w:eastAsia="zh-CN"/>
        </w:rPr>
        <w:t>三</w:t>
      </w:r>
      <w:r>
        <w:rPr>
          <w:rFonts w:hint="default" w:ascii="Times New Roman" w:hAnsi="Times New Roman" w:eastAsia="仿宋_GB2312" w:cs="Times New Roman"/>
          <w:color w:val="auto"/>
          <w:kern w:val="0"/>
          <w:sz w:val="32"/>
          <w:szCs w:val="32"/>
          <w:lang w:val="en-GB" w:eastAsia="zh-CN"/>
        </w:rPr>
        <w:t>）合理布局，选用低噪声设备，采取减振、隔声、封闭等措施，减轻噪声排放，确保厂界噪声满足《工业企业厂界环境噪声排放标准》（GB12348-2008）中相关限值要求。</w:t>
      </w:r>
    </w:p>
    <w:p w14:paraId="5A86FC5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（四）加强固体废物分类收集。</w:t>
      </w:r>
      <w:r>
        <w:rPr>
          <w:rFonts w:hint="eastAsia" w:ascii="Times New Roman" w:hAnsi="Times New Roman" w:eastAsia="仿宋_GB2312" w:cs="Times New Roman"/>
          <w:color w:val="auto"/>
          <w:kern w:val="0"/>
          <w:sz w:val="32"/>
          <w:szCs w:val="32"/>
          <w:lang w:val="en-US" w:eastAsia="zh-CN"/>
        </w:rPr>
        <w:t>废包装</w:t>
      </w:r>
      <w:r>
        <w:rPr>
          <w:rFonts w:hint="eastAsia" w:eastAsia="仿宋_GB2312" w:cs="Times New Roman"/>
          <w:color w:val="auto"/>
          <w:kern w:val="0"/>
          <w:sz w:val="32"/>
          <w:szCs w:val="32"/>
          <w:lang w:val="en-US" w:eastAsia="zh-CN"/>
        </w:rPr>
        <w:t>材料</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金属边角料</w:t>
      </w:r>
      <w:r>
        <w:rPr>
          <w:rFonts w:hint="default" w:ascii="Times New Roman" w:hAnsi="Times New Roman" w:eastAsia="仿宋_GB2312" w:cs="Times New Roman"/>
          <w:color w:val="auto"/>
          <w:kern w:val="0"/>
          <w:sz w:val="32"/>
          <w:szCs w:val="32"/>
          <w:lang w:val="en-US" w:eastAsia="zh-CN"/>
        </w:rPr>
        <w:t>等一般固体废物处置执行《一般工业固体废物贮存和填埋污染控制标准》GB18599-2020)相关要求；废</w:t>
      </w:r>
      <w:r>
        <w:rPr>
          <w:rFonts w:hint="eastAsia" w:ascii="Times New Roman" w:hAnsi="Times New Roman" w:eastAsia="仿宋_GB2312" w:cs="Times New Roman"/>
          <w:color w:val="auto"/>
          <w:kern w:val="0"/>
          <w:sz w:val="32"/>
          <w:szCs w:val="32"/>
          <w:lang w:val="en-US" w:eastAsia="zh-CN"/>
        </w:rPr>
        <w:t>活性炭</w:t>
      </w:r>
      <w:r>
        <w:rPr>
          <w:rFonts w:hint="default" w:ascii="Times New Roman" w:hAnsi="Times New Roman" w:eastAsia="仿宋_GB2312" w:cs="Times New Roman"/>
          <w:color w:val="auto"/>
          <w:kern w:val="0"/>
          <w:sz w:val="32"/>
          <w:szCs w:val="32"/>
          <w:lang w:val="en-US" w:eastAsia="zh-CN"/>
        </w:rPr>
        <w:t>和废</w:t>
      </w:r>
      <w:r>
        <w:rPr>
          <w:rFonts w:hint="eastAsia" w:eastAsia="仿宋_GB2312" w:cs="Times New Roman"/>
          <w:color w:val="auto"/>
          <w:kern w:val="0"/>
          <w:sz w:val="32"/>
          <w:szCs w:val="32"/>
          <w:lang w:val="en-US" w:eastAsia="zh-CN"/>
        </w:rPr>
        <w:t>油墨桶</w:t>
      </w:r>
      <w:r>
        <w:rPr>
          <w:rFonts w:hint="default" w:ascii="Times New Roman" w:hAnsi="Times New Roman" w:eastAsia="仿宋_GB2312" w:cs="Times New Roman"/>
          <w:color w:val="auto"/>
          <w:kern w:val="0"/>
          <w:sz w:val="32"/>
          <w:szCs w:val="32"/>
          <w:lang w:val="en-US" w:eastAsia="zh-CN"/>
        </w:rPr>
        <w:t>等危险废物处置执行《危险废物贮存污染控制标准》（GB18597-2023）相关要求。生活垃圾袋装收集后交由环卫部门统一处置。</w:t>
      </w:r>
    </w:p>
    <w:p w14:paraId="6903386F">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（五）严格落实《报告表》提出的防渗措施。按照主动预防、源头控制、分区防渗要求，对危废库等区域采取重点防渗措施，防止土壤和地下水污染。</w:t>
      </w:r>
    </w:p>
    <w:p w14:paraId="47453D4A">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（六）加强环境风险防范。严格落实《报告表》中提出的风险防范措施、环境管理要求和环境监测计划，编制应急预案，并定期开展应急演练，定期开展监测，及时公开。</w:t>
      </w:r>
    </w:p>
    <w:p w14:paraId="132E1430">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（七）做好与排污许可证申领的衔接，按照排污许可技术规范要求，完成排污许可证申报登记工作。</w:t>
      </w:r>
    </w:p>
    <w:p w14:paraId="4BA3C69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（八）项目总量指标为 VOCs:</w:t>
      </w:r>
      <w:r>
        <w:rPr>
          <w:rFonts w:hint="eastAsia"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41</w:t>
      </w:r>
      <w:r>
        <w:rPr>
          <w:rFonts w:hint="default" w:ascii="Times New Roman" w:hAnsi="Times New Roman" w:eastAsia="仿宋_GB2312" w:cs="Times New Roman"/>
          <w:color w:val="auto"/>
          <w:kern w:val="0"/>
          <w:sz w:val="32"/>
          <w:szCs w:val="32"/>
          <w:lang w:val="en-US" w:eastAsia="zh-CN"/>
        </w:rPr>
        <w:t>t/a，项目运营后排放的总量不得超过市生态环境局核定的总量。</w:t>
      </w:r>
    </w:p>
    <w:p w14:paraId="0C4A9A56">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四、项目建设应严格执行环境保护“三同时”制度，建成后应按相关规定自主进行竣工环境保护验收，验收合格后方可正式投入生产。</w:t>
      </w:r>
    </w:p>
    <w:p w14:paraId="0409D9A3">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五、若建设项目的规模、地点、工艺或者污染防治措施发生重大变化，你单位应依法重新履行相关审批手续。 </w:t>
      </w:r>
    </w:p>
    <w:p w14:paraId="05252AA3">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六、金安经济开发区生态环境工作站负责对该项目建设期、运营期的环境监督管理工作。</w:t>
      </w:r>
    </w:p>
    <w:p w14:paraId="3E768057">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784788C9">
      <w:pPr>
        <w:keepNext w:val="0"/>
        <w:keepLines w:val="0"/>
        <w:pageBreakBefore w:val="0"/>
        <w:widowControl/>
        <w:kinsoku/>
        <w:wordWrap w:val="0"/>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rPr>
      </w:pPr>
    </w:p>
    <w:p w14:paraId="0BC85F54">
      <w:pPr>
        <w:keepNext w:val="0"/>
        <w:keepLines w:val="0"/>
        <w:pageBreakBefore w:val="0"/>
        <w:widowControl/>
        <w:kinsoku/>
        <w:wordWrap w:val="0"/>
        <w:overflowPunct/>
        <w:topLinePunct w:val="0"/>
        <w:bidi w:val="0"/>
        <w:snapToGrid/>
        <w:spacing w:line="560" w:lineRule="exact"/>
        <w:ind w:firstLine="4800" w:firstLineChars="15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六安市金安区生态环境分局</w:t>
      </w:r>
    </w:p>
    <w:p w14:paraId="55EEDA16">
      <w:pPr>
        <w:keepNext w:val="0"/>
        <w:keepLines w:val="0"/>
        <w:pageBreakBefore w:val="0"/>
        <w:widowControl/>
        <w:kinsoku/>
        <w:wordWrap w:val="0"/>
        <w:overflowPunct/>
        <w:topLinePunct w:val="0"/>
        <w:bidi w:val="0"/>
        <w:snapToGrid/>
        <w:spacing w:line="560" w:lineRule="exact"/>
        <w:ind w:firstLine="5760" w:firstLineChars="1800"/>
        <w:jc w:val="left"/>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auto"/>
          <w:kern w:val="0"/>
          <w:sz w:val="32"/>
          <w:szCs w:val="32"/>
        </w:rPr>
        <w:t>2025年</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月1</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日</w:t>
      </w:r>
    </w:p>
    <w:p w14:paraId="29AD07C2">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0EEC432">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62621D54">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5C104127">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21DBD58">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rPr>
      </w:pPr>
    </w:p>
    <w:p w14:paraId="0E88F186">
      <w:pPr>
        <w:keepNext w:val="0"/>
        <w:keepLines w:val="0"/>
        <w:pageBreakBefore w:val="0"/>
        <w:widowControl w:val="0"/>
        <w:kinsoku/>
        <w:wordWrap/>
        <w:overflowPunct/>
        <w:topLinePunct w:val="0"/>
        <w:bidi w:val="0"/>
        <w:snapToGrid/>
        <w:spacing w:line="600" w:lineRule="exact"/>
        <w:ind w:right="28"/>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抄：市生态环境局，区直有关单位，</w:t>
      </w:r>
      <w:r>
        <w:rPr>
          <w:rFonts w:hint="eastAsia" w:ascii="仿宋_GB2312" w:hAnsi="仿宋_GB2312" w:eastAsia="仿宋_GB2312" w:cs="仿宋_GB2312"/>
          <w:color w:val="000000"/>
          <w:sz w:val="32"/>
          <w:szCs w:val="32"/>
          <w:lang w:val="en-US" w:eastAsia="zh-CN"/>
        </w:rPr>
        <w:t>金安经济开发区管委</w:t>
      </w:r>
      <w:r>
        <w:rPr>
          <w:rFonts w:hint="eastAsia" w:ascii="仿宋_GB2312" w:hAnsi="仿宋_GB2312" w:eastAsia="仿宋_GB2312" w:cs="仿宋_GB2312"/>
          <w:color w:val="000000"/>
          <w:sz w:val="32"/>
          <w:szCs w:val="32"/>
        </w:rPr>
        <w:t>，六安市生态环境保护综合行政执法支队金安区大队，</w:t>
      </w:r>
      <w:bookmarkStart w:id="1" w:name="OLE_LINK1"/>
      <w:r>
        <w:rPr>
          <w:rFonts w:hint="eastAsia" w:ascii="仿宋_GB2312" w:hAnsi="仿宋_GB2312" w:eastAsia="仿宋_GB2312" w:cs="仿宋_GB2312"/>
          <w:color w:val="000000"/>
          <w:sz w:val="32"/>
          <w:szCs w:val="32"/>
          <w:lang w:val="en-US" w:eastAsia="zh-CN"/>
        </w:rPr>
        <w:t>金安经济开发区生态环境工作站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六安渌源环境安全技术</w:t>
      </w:r>
      <w:r>
        <w:rPr>
          <w:rFonts w:hint="eastAsia" w:ascii="仿宋_GB2312" w:hAnsi="仿宋_GB2312" w:eastAsia="仿宋_GB2312" w:cs="仿宋_GB2312"/>
          <w:color w:val="000000"/>
          <w:sz w:val="32"/>
          <w:szCs w:val="32"/>
        </w:rPr>
        <w:t>有限公司</w:t>
      </w:r>
      <w:bookmarkEnd w:id="1"/>
      <w:r>
        <w:rPr>
          <w:rFonts w:hint="eastAsia" w:ascii="仿宋_GB2312" w:hAnsi="仿宋_GB2312" w:eastAsia="仿宋_GB2312" w:cs="仿宋_GB2312"/>
          <w:color w:val="000000"/>
          <w:sz w:val="32"/>
          <w:szCs w:val="32"/>
          <w:lang w:eastAsia="zh-CN"/>
        </w:rPr>
        <w:t>。</w:t>
      </w:r>
    </w:p>
    <w:sectPr>
      <w:footerReference r:id="rId5" w:type="first"/>
      <w:footerReference r:id="rId3" w:type="default"/>
      <w:footerReference r:id="rId4" w:type="even"/>
      <w:pgSz w:w="11906" w:h="16838"/>
      <w:pgMar w:top="1984" w:right="1587" w:bottom="1587"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48BE2">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FA072">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07CFA072">
                    <w:pPr>
                      <w:pStyle w:val="13"/>
                      <w:rPr>
                        <w:rStyle w:val="24"/>
                        <w:rFonts w:hint="eastAsia" w:asciiTheme="minorEastAsia" w:hAnsiTheme="minorEastAsia" w:eastAsiaTheme="minorEastAsia" w:cstheme="minorEastAsia"/>
                        <w:sz w:val="28"/>
                        <w:szCs w:val="28"/>
                        <w:lang w:eastAsia="zh-CN"/>
                      </w:rPr>
                    </w:pPr>
                    <w:r>
                      <w:rPr>
                        <w:rStyle w:val="24"/>
                        <w:rFonts w:hint="eastAsia" w:asciiTheme="minorEastAsia" w:hAnsiTheme="minorEastAsia" w:eastAsiaTheme="minorEastAsia" w:cstheme="minorEastAsia"/>
                        <w:sz w:val="28"/>
                        <w:szCs w:val="28"/>
                        <w:lang w:eastAsia="zh-CN"/>
                      </w:rPr>
                      <w:t xml:space="preserve">— </w:t>
                    </w:r>
                    <w:r>
                      <w:rPr>
                        <w:rStyle w:val="24"/>
                        <w:rFonts w:hint="eastAsia" w:asciiTheme="minorEastAsia" w:hAnsiTheme="minorEastAsia" w:eastAsiaTheme="minorEastAsia" w:cstheme="minorEastAsia"/>
                        <w:sz w:val="28"/>
                        <w:szCs w:val="28"/>
                        <w:lang w:eastAsia="zh-CN"/>
                      </w:rPr>
                      <w:fldChar w:fldCharType="begin"/>
                    </w:r>
                    <w:r>
                      <w:rPr>
                        <w:rStyle w:val="24"/>
                        <w:rFonts w:hint="eastAsia" w:asciiTheme="minorEastAsia" w:hAnsiTheme="minorEastAsia" w:eastAsiaTheme="minorEastAsia" w:cstheme="minorEastAsia"/>
                        <w:sz w:val="28"/>
                        <w:szCs w:val="28"/>
                        <w:lang w:eastAsia="zh-CN"/>
                      </w:rPr>
                      <w:instrText xml:space="preserve"> PAGE  \* MERGEFORMAT </w:instrText>
                    </w:r>
                    <w:r>
                      <w:rPr>
                        <w:rStyle w:val="24"/>
                        <w:rFonts w:hint="eastAsia" w:asciiTheme="minorEastAsia" w:hAnsiTheme="minorEastAsia" w:eastAsiaTheme="minorEastAsia" w:cstheme="minorEastAsia"/>
                        <w:sz w:val="28"/>
                        <w:szCs w:val="28"/>
                        <w:lang w:eastAsia="zh-CN"/>
                      </w:rPr>
                      <w:fldChar w:fldCharType="separate"/>
                    </w:r>
                    <w:r>
                      <w:rPr>
                        <w:rStyle w:val="24"/>
                        <w:rFonts w:hint="eastAsia" w:asciiTheme="minorEastAsia" w:hAnsiTheme="minorEastAsia" w:eastAsiaTheme="minorEastAsia" w:cstheme="minorEastAsia"/>
                        <w:sz w:val="28"/>
                        <w:szCs w:val="28"/>
                        <w:lang w:eastAsia="zh-CN"/>
                      </w:rPr>
                      <w:t>2</w:t>
                    </w:r>
                    <w:r>
                      <w:rPr>
                        <w:rStyle w:val="24"/>
                        <w:rFonts w:hint="eastAsia" w:asciiTheme="minorEastAsia" w:hAnsiTheme="minorEastAsia" w:eastAsiaTheme="minorEastAsia" w:cstheme="minorEastAsia"/>
                        <w:sz w:val="28"/>
                        <w:szCs w:val="28"/>
                        <w:lang w:eastAsia="zh-CN"/>
                      </w:rPr>
                      <w:fldChar w:fldCharType="end"/>
                    </w:r>
                    <w:r>
                      <w:rPr>
                        <w:rStyle w:val="24"/>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3ED6">
    <w:pPr>
      <w:pStyle w:val="13"/>
      <w:framePr w:wrap="around" w:vAnchor="text" w:hAnchor="margin" w:xAlign="center" w:y="1"/>
      <w:rPr>
        <w:rStyle w:val="24"/>
      </w:rPr>
    </w:pPr>
    <w:r>
      <w:fldChar w:fldCharType="begin"/>
    </w:r>
    <w:r>
      <w:rPr>
        <w:rStyle w:val="24"/>
      </w:rPr>
      <w:instrText xml:space="preserve">PAGE  </w:instrText>
    </w:r>
    <w:r>
      <w:fldChar w:fldCharType="end"/>
    </w:r>
  </w:p>
  <w:p w14:paraId="2BD1571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A135">
    <w:pPr>
      <w:pStyle w:val="13"/>
    </w:pPr>
    <w:r>
      <mc:AlternateContent>
        <mc:Choice Requires="wps">
          <w:drawing>
            <wp:anchor distT="0" distB="0" distL="114300" distR="114300" simplePos="0" relativeHeight="251660288" behindDoc="0" locked="0" layoutInCell="1" allowOverlap="1">
              <wp:simplePos x="0" y="0"/>
              <wp:positionH relativeFrom="margin">
                <wp:posOffset>5135245</wp:posOffset>
              </wp:positionH>
              <wp:positionV relativeFrom="paragraph">
                <wp:posOffset>9525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F88FC">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404.35pt;margin-top:0.75pt;height:144pt;width:144pt;mso-position-horizontal-relative:margin;mso-wrap-style:none;z-index:251660288;mso-width-relative:page;mso-height-relative:page;" filled="f" stroked="f" coordsize="21600,21600" o:gfxdata="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1DieMWB37++eP8&#10;6/H88J0sszx9gBqz7gLmpeG9H3BpZj+gM7MeVLT5i3wIxlHc00VcOSQi8qPVcrWqMCQwNl8Qnz09&#10;DxHSB+ktyUZDI06viMqPnyCNqXNKrub8rTamTNC4vxyImT0s9z72mK007IaJ0M63J+TT4+Ab6nDP&#10;KTEfHeqad2Q24mzsZuMQot53ZYlyPQjvDgmbKL3lCiPsVBgnVthN25VX4s97yXr6oz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BfG9zVAAAACgEAAA8AAAAAAAAAAQAgAAAAIgAAAGRycy9kb3du&#10;cmV2LnhtbFBLAQIUABQAAAAIAIdO4kAFKsO7yQEAAJkDAAAOAAAAAAAAAAEAIAAAACQBAABkcnMv&#10;ZTJvRG9jLnhtbFBLBQYAAAAABgAGAFkBAABfBQAAAAA=&#10;">
              <v:fill on="f" focussize="0,0"/>
              <v:stroke on="f"/>
              <v:imagedata o:title=""/>
              <o:lock v:ext="edit" aspectratio="f"/>
              <v:textbox inset="0mm,0mm,0mm,0mm" style="mso-fit-shape-to-text:t;">
                <w:txbxContent>
                  <w:p w14:paraId="617F88FC">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pStyle w:val="3"/>
      <w:lvlText w:val="%2."/>
      <w:lvlJc w:val="left"/>
      <w:pPr>
        <w:tabs>
          <w:tab w:val="left" w:pos="1276"/>
        </w:tabs>
        <w:ind w:left="851" w:firstLine="0"/>
      </w:pPr>
    </w:lvl>
    <w:lvl w:ilvl="2" w:tentative="0">
      <w:start w:val="1"/>
      <w:numFmt w:val="decimal"/>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WIyODc0NzY4ZGRmMzE1YzExMDkyZGUwMzJlMmMifQ=="/>
    <w:docVar w:name="KGWebUrl" w:val="http://220.180.2.131:8004/officeserverservlet?moduleCode=govFile"/>
    <w:docVar w:name="KSO_WPS_MARK_KEY" w:val="11e83642-8a2b-405e-b5ab-ea4c1475f0bf"/>
  </w:docVars>
  <w:rsids>
    <w:rsidRoot w:val="00A66A85"/>
    <w:rsid w:val="0000772A"/>
    <w:rsid w:val="00010E76"/>
    <w:rsid w:val="00052EC3"/>
    <w:rsid w:val="000531CD"/>
    <w:rsid w:val="00054C23"/>
    <w:rsid w:val="00061F7C"/>
    <w:rsid w:val="000674DE"/>
    <w:rsid w:val="0007763D"/>
    <w:rsid w:val="000804FA"/>
    <w:rsid w:val="000843F2"/>
    <w:rsid w:val="000922FA"/>
    <w:rsid w:val="000C0AB9"/>
    <w:rsid w:val="000C4FAB"/>
    <w:rsid w:val="000C5AF2"/>
    <w:rsid w:val="00113556"/>
    <w:rsid w:val="00116986"/>
    <w:rsid w:val="001218CB"/>
    <w:rsid w:val="00143B17"/>
    <w:rsid w:val="00151FEA"/>
    <w:rsid w:val="00153302"/>
    <w:rsid w:val="001829E7"/>
    <w:rsid w:val="00195908"/>
    <w:rsid w:val="001B0B8D"/>
    <w:rsid w:val="001C0C16"/>
    <w:rsid w:val="001C0FAE"/>
    <w:rsid w:val="001C7DF5"/>
    <w:rsid w:val="001E24E9"/>
    <w:rsid w:val="001E6931"/>
    <w:rsid w:val="00200700"/>
    <w:rsid w:val="00213066"/>
    <w:rsid w:val="002308FE"/>
    <w:rsid w:val="0024545E"/>
    <w:rsid w:val="00245D37"/>
    <w:rsid w:val="00256323"/>
    <w:rsid w:val="00272C7D"/>
    <w:rsid w:val="00276858"/>
    <w:rsid w:val="00292878"/>
    <w:rsid w:val="00293BCB"/>
    <w:rsid w:val="002A594F"/>
    <w:rsid w:val="002A6958"/>
    <w:rsid w:val="002D000F"/>
    <w:rsid w:val="002E0083"/>
    <w:rsid w:val="002E1B81"/>
    <w:rsid w:val="002E6B0F"/>
    <w:rsid w:val="002F1F86"/>
    <w:rsid w:val="0031407E"/>
    <w:rsid w:val="0033354E"/>
    <w:rsid w:val="00343CAD"/>
    <w:rsid w:val="003743B1"/>
    <w:rsid w:val="003B5388"/>
    <w:rsid w:val="003B5BDC"/>
    <w:rsid w:val="003E5775"/>
    <w:rsid w:val="003E5E18"/>
    <w:rsid w:val="003E78C2"/>
    <w:rsid w:val="003F6288"/>
    <w:rsid w:val="00402609"/>
    <w:rsid w:val="004029B1"/>
    <w:rsid w:val="00405BE8"/>
    <w:rsid w:val="00410A7A"/>
    <w:rsid w:val="004117A8"/>
    <w:rsid w:val="0043166C"/>
    <w:rsid w:val="00431A52"/>
    <w:rsid w:val="004401B4"/>
    <w:rsid w:val="004449E9"/>
    <w:rsid w:val="004514C5"/>
    <w:rsid w:val="00453205"/>
    <w:rsid w:val="00466950"/>
    <w:rsid w:val="0047086F"/>
    <w:rsid w:val="00486BBB"/>
    <w:rsid w:val="00487EC6"/>
    <w:rsid w:val="004A0C8E"/>
    <w:rsid w:val="004C7622"/>
    <w:rsid w:val="004E742B"/>
    <w:rsid w:val="004F1406"/>
    <w:rsid w:val="004F4D2A"/>
    <w:rsid w:val="004F6821"/>
    <w:rsid w:val="005005DF"/>
    <w:rsid w:val="005422A1"/>
    <w:rsid w:val="00544C92"/>
    <w:rsid w:val="00552592"/>
    <w:rsid w:val="00557B1B"/>
    <w:rsid w:val="00564DBC"/>
    <w:rsid w:val="00581493"/>
    <w:rsid w:val="00584F4C"/>
    <w:rsid w:val="005900BA"/>
    <w:rsid w:val="005919BF"/>
    <w:rsid w:val="00592E36"/>
    <w:rsid w:val="00593C5D"/>
    <w:rsid w:val="005C4AAB"/>
    <w:rsid w:val="005D1FE4"/>
    <w:rsid w:val="005D502B"/>
    <w:rsid w:val="005E1222"/>
    <w:rsid w:val="005F327C"/>
    <w:rsid w:val="006014B0"/>
    <w:rsid w:val="006025EC"/>
    <w:rsid w:val="0061009F"/>
    <w:rsid w:val="006215E7"/>
    <w:rsid w:val="00653DBE"/>
    <w:rsid w:val="00674327"/>
    <w:rsid w:val="006937BC"/>
    <w:rsid w:val="006B0DE9"/>
    <w:rsid w:val="006B5A25"/>
    <w:rsid w:val="006D6B1D"/>
    <w:rsid w:val="007021E7"/>
    <w:rsid w:val="00706CAF"/>
    <w:rsid w:val="007236B6"/>
    <w:rsid w:val="00726859"/>
    <w:rsid w:val="00737B94"/>
    <w:rsid w:val="00740905"/>
    <w:rsid w:val="0078100B"/>
    <w:rsid w:val="007A3B9F"/>
    <w:rsid w:val="007A4B59"/>
    <w:rsid w:val="007A76A2"/>
    <w:rsid w:val="007B6520"/>
    <w:rsid w:val="007C61FD"/>
    <w:rsid w:val="007D1B84"/>
    <w:rsid w:val="007E68E2"/>
    <w:rsid w:val="007F0025"/>
    <w:rsid w:val="007F05ED"/>
    <w:rsid w:val="007F19B7"/>
    <w:rsid w:val="00802FA7"/>
    <w:rsid w:val="0084748D"/>
    <w:rsid w:val="008519C8"/>
    <w:rsid w:val="00857C29"/>
    <w:rsid w:val="008865D3"/>
    <w:rsid w:val="0089493F"/>
    <w:rsid w:val="008A7752"/>
    <w:rsid w:val="008B04F5"/>
    <w:rsid w:val="008B6780"/>
    <w:rsid w:val="008C7B13"/>
    <w:rsid w:val="008E172C"/>
    <w:rsid w:val="008E5B56"/>
    <w:rsid w:val="00900353"/>
    <w:rsid w:val="00906E90"/>
    <w:rsid w:val="009217D9"/>
    <w:rsid w:val="009274FE"/>
    <w:rsid w:val="0093170D"/>
    <w:rsid w:val="00941A02"/>
    <w:rsid w:val="009458D6"/>
    <w:rsid w:val="00947E2C"/>
    <w:rsid w:val="00950D40"/>
    <w:rsid w:val="00956EDB"/>
    <w:rsid w:val="00966CD4"/>
    <w:rsid w:val="00967C9C"/>
    <w:rsid w:val="00973EC7"/>
    <w:rsid w:val="00977F82"/>
    <w:rsid w:val="00995230"/>
    <w:rsid w:val="00996D51"/>
    <w:rsid w:val="009B2AFB"/>
    <w:rsid w:val="009B42C1"/>
    <w:rsid w:val="009B573D"/>
    <w:rsid w:val="009C2D7E"/>
    <w:rsid w:val="009C7516"/>
    <w:rsid w:val="009D34F8"/>
    <w:rsid w:val="009E3230"/>
    <w:rsid w:val="00A12327"/>
    <w:rsid w:val="00A20D12"/>
    <w:rsid w:val="00A30024"/>
    <w:rsid w:val="00A405F8"/>
    <w:rsid w:val="00A42363"/>
    <w:rsid w:val="00A42504"/>
    <w:rsid w:val="00A52D61"/>
    <w:rsid w:val="00A53C70"/>
    <w:rsid w:val="00A604E3"/>
    <w:rsid w:val="00A66A85"/>
    <w:rsid w:val="00A75AAE"/>
    <w:rsid w:val="00A805BE"/>
    <w:rsid w:val="00A81BFE"/>
    <w:rsid w:val="00A82042"/>
    <w:rsid w:val="00A92397"/>
    <w:rsid w:val="00AA6D21"/>
    <w:rsid w:val="00AB2FD8"/>
    <w:rsid w:val="00AB3884"/>
    <w:rsid w:val="00AC0AF2"/>
    <w:rsid w:val="00AC60D2"/>
    <w:rsid w:val="00AD1229"/>
    <w:rsid w:val="00AD2436"/>
    <w:rsid w:val="00AE7B57"/>
    <w:rsid w:val="00AF2058"/>
    <w:rsid w:val="00B009BF"/>
    <w:rsid w:val="00B22ED6"/>
    <w:rsid w:val="00B35B36"/>
    <w:rsid w:val="00B53C6F"/>
    <w:rsid w:val="00B67F34"/>
    <w:rsid w:val="00B70C11"/>
    <w:rsid w:val="00B73883"/>
    <w:rsid w:val="00B73D3F"/>
    <w:rsid w:val="00B9480D"/>
    <w:rsid w:val="00B976B2"/>
    <w:rsid w:val="00BB112D"/>
    <w:rsid w:val="00BB4A09"/>
    <w:rsid w:val="00BD5187"/>
    <w:rsid w:val="00BE18F0"/>
    <w:rsid w:val="00BE6860"/>
    <w:rsid w:val="00BF5D3A"/>
    <w:rsid w:val="00C07726"/>
    <w:rsid w:val="00C357F3"/>
    <w:rsid w:val="00C411D9"/>
    <w:rsid w:val="00C44193"/>
    <w:rsid w:val="00C45E48"/>
    <w:rsid w:val="00C50541"/>
    <w:rsid w:val="00C542F6"/>
    <w:rsid w:val="00C66FD0"/>
    <w:rsid w:val="00C70E21"/>
    <w:rsid w:val="00C7667F"/>
    <w:rsid w:val="00C81A8A"/>
    <w:rsid w:val="00C97DA4"/>
    <w:rsid w:val="00CA4BD1"/>
    <w:rsid w:val="00CB534D"/>
    <w:rsid w:val="00CB6419"/>
    <w:rsid w:val="00CC1937"/>
    <w:rsid w:val="00CC1E51"/>
    <w:rsid w:val="00CC57F2"/>
    <w:rsid w:val="00CD0943"/>
    <w:rsid w:val="00CD5833"/>
    <w:rsid w:val="00D07B39"/>
    <w:rsid w:val="00D13B06"/>
    <w:rsid w:val="00D30879"/>
    <w:rsid w:val="00D43670"/>
    <w:rsid w:val="00D55C98"/>
    <w:rsid w:val="00D57D2F"/>
    <w:rsid w:val="00D60E3C"/>
    <w:rsid w:val="00D63A18"/>
    <w:rsid w:val="00D74E0C"/>
    <w:rsid w:val="00D7611C"/>
    <w:rsid w:val="00DB07BF"/>
    <w:rsid w:val="00DD649C"/>
    <w:rsid w:val="00DF213B"/>
    <w:rsid w:val="00DF2906"/>
    <w:rsid w:val="00DF47FA"/>
    <w:rsid w:val="00E03B80"/>
    <w:rsid w:val="00E05B32"/>
    <w:rsid w:val="00E07F06"/>
    <w:rsid w:val="00E128EB"/>
    <w:rsid w:val="00E2490B"/>
    <w:rsid w:val="00E311F2"/>
    <w:rsid w:val="00E41BCB"/>
    <w:rsid w:val="00E43F16"/>
    <w:rsid w:val="00E51390"/>
    <w:rsid w:val="00E51A7E"/>
    <w:rsid w:val="00E628C6"/>
    <w:rsid w:val="00E740D1"/>
    <w:rsid w:val="00E903D8"/>
    <w:rsid w:val="00EB2F67"/>
    <w:rsid w:val="00EB7A1E"/>
    <w:rsid w:val="00EC1EFE"/>
    <w:rsid w:val="00EC4CB1"/>
    <w:rsid w:val="00ED3B19"/>
    <w:rsid w:val="00F14941"/>
    <w:rsid w:val="00F2167F"/>
    <w:rsid w:val="00F26B1A"/>
    <w:rsid w:val="00F2777F"/>
    <w:rsid w:val="00F27DBA"/>
    <w:rsid w:val="00F312E6"/>
    <w:rsid w:val="00F31C93"/>
    <w:rsid w:val="00F340B9"/>
    <w:rsid w:val="00F57C1A"/>
    <w:rsid w:val="00F65707"/>
    <w:rsid w:val="00F70040"/>
    <w:rsid w:val="00F818E2"/>
    <w:rsid w:val="00F83AE4"/>
    <w:rsid w:val="00F93908"/>
    <w:rsid w:val="00F94051"/>
    <w:rsid w:val="00FA35EC"/>
    <w:rsid w:val="00FA7E23"/>
    <w:rsid w:val="00FC0F24"/>
    <w:rsid w:val="00FC128A"/>
    <w:rsid w:val="00FD59D3"/>
    <w:rsid w:val="00FE59A2"/>
    <w:rsid w:val="015F5D3E"/>
    <w:rsid w:val="018D1B6E"/>
    <w:rsid w:val="029B611E"/>
    <w:rsid w:val="04681279"/>
    <w:rsid w:val="048541FF"/>
    <w:rsid w:val="050622F0"/>
    <w:rsid w:val="05500BD9"/>
    <w:rsid w:val="06E81157"/>
    <w:rsid w:val="06ED11EE"/>
    <w:rsid w:val="074E7170"/>
    <w:rsid w:val="0761763D"/>
    <w:rsid w:val="07B95C94"/>
    <w:rsid w:val="08435AC4"/>
    <w:rsid w:val="08AC2521"/>
    <w:rsid w:val="08C77960"/>
    <w:rsid w:val="091F62B9"/>
    <w:rsid w:val="09551522"/>
    <w:rsid w:val="0A423BD1"/>
    <w:rsid w:val="0A6D74EE"/>
    <w:rsid w:val="0B025B5F"/>
    <w:rsid w:val="0B352404"/>
    <w:rsid w:val="0BC37DFA"/>
    <w:rsid w:val="0C6E70B6"/>
    <w:rsid w:val="0CFB5286"/>
    <w:rsid w:val="0D437A43"/>
    <w:rsid w:val="0D7C6E61"/>
    <w:rsid w:val="0D9929F5"/>
    <w:rsid w:val="0DA63ABF"/>
    <w:rsid w:val="0E2A6AC3"/>
    <w:rsid w:val="0E3D130B"/>
    <w:rsid w:val="0F0A2307"/>
    <w:rsid w:val="0F2A5393"/>
    <w:rsid w:val="0FC35039"/>
    <w:rsid w:val="109D7D11"/>
    <w:rsid w:val="10EA3DF0"/>
    <w:rsid w:val="12544664"/>
    <w:rsid w:val="12C865C8"/>
    <w:rsid w:val="13334BF0"/>
    <w:rsid w:val="137A246C"/>
    <w:rsid w:val="161C4BA6"/>
    <w:rsid w:val="16480C82"/>
    <w:rsid w:val="16AC0098"/>
    <w:rsid w:val="16F156FA"/>
    <w:rsid w:val="16F62510"/>
    <w:rsid w:val="17A20290"/>
    <w:rsid w:val="17DF5A23"/>
    <w:rsid w:val="18090001"/>
    <w:rsid w:val="188241BE"/>
    <w:rsid w:val="18DA72FB"/>
    <w:rsid w:val="18DC7461"/>
    <w:rsid w:val="18E0618B"/>
    <w:rsid w:val="1A367855"/>
    <w:rsid w:val="1A3E4302"/>
    <w:rsid w:val="1A7127CE"/>
    <w:rsid w:val="1AE35208"/>
    <w:rsid w:val="1B133624"/>
    <w:rsid w:val="1BC665A4"/>
    <w:rsid w:val="1C37165D"/>
    <w:rsid w:val="1CF67320"/>
    <w:rsid w:val="1D594123"/>
    <w:rsid w:val="1E5713D5"/>
    <w:rsid w:val="1E690E1B"/>
    <w:rsid w:val="1E9F5D30"/>
    <w:rsid w:val="20A115A4"/>
    <w:rsid w:val="20E50252"/>
    <w:rsid w:val="21607C3C"/>
    <w:rsid w:val="21A1763C"/>
    <w:rsid w:val="22066EA3"/>
    <w:rsid w:val="22221BDA"/>
    <w:rsid w:val="22DF79F5"/>
    <w:rsid w:val="23537624"/>
    <w:rsid w:val="23FF2A54"/>
    <w:rsid w:val="247568FA"/>
    <w:rsid w:val="250A7922"/>
    <w:rsid w:val="258A17E3"/>
    <w:rsid w:val="25CD2EDC"/>
    <w:rsid w:val="26870139"/>
    <w:rsid w:val="26BE00E6"/>
    <w:rsid w:val="271F7C60"/>
    <w:rsid w:val="276758E8"/>
    <w:rsid w:val="27695841"/>
    <w:rsid w:val="27D612A2"/>
    <w:rsid w:val="281161DE"/>
    <w:rsid w:val="28234920"/>
    <w:rsid w:val="285318EC"/>
    <w:rsid w:val="28E53D50"/>
    <w:rsid w:val="29055A79"/>
    <w:rsid w:val="291E2C7B"/>
    <w:rsid w:val="2978758B"/>
    <w:rsid w:val="29ED36E5"/>
    <w:rsid w:val="2A6569E7"/>
    <w:rsid w:val="2AF53301"/>
    <w:rsid w:val="2AFD4792"/>
    <w:rsid w:val="2B031916"/>
    <w:rsid w:val="2C621808"/>
    <w:rsid w:val="2D183E04"/>
    <w:rsid w:val="2D7E6E28"/>
    <w:rsid w:val="2E0126CF"/>
    <w:rsid w:val="2E574A9D"/>
    <w:rsid w:val="2EA05230"/>
    <w:rsid w:val="2ED322C7"/>
    <w:rsid w:val="2F5147C6"/>
    <w:rsid w:val="2F902E0D"/>
    <w:rsid w:val="2FA57963"/>
    <w:rsid w:val="2FF677A6"/>
    <w:rsid w:val="31C94901"/>
    <w:rsid w:val="31E040C5"/>
    <w:rsid w:val="3203745C"/>
    <w:rsid w:val="322761F0"/>
    <w:rsid w:val="32534E66"/>
    <w:rsid w:val="32966A4D"/>
    <w:rsid w:val="32CA57E9"/>
    <w:rsid w:val="33276E2A"/>
    <w:rsid w:val="334E3DD8"/>
    <w:rsid w:val="335E7F22"/>
    <w:rsid w:val="33DE475C"/>
    <w:rsid w:val="347F0547"/>
    <w:rsid w:val="348B4844"/>
    <w:rsid w:val="356C6DE6"/>
    <w:rsid w:val="36120A46"/>
    <w:rsid w:val="36FC2ECF"/>
    <w:rsid w:val="37C51570"/>
    <w:rsid w:val="37DF3A79"/>
    <w:rsid w:val="39C12B5F"/>
    <w:rsid w:val="39D71268"/>
    <w:rsid w:val="3B88423E"/>
    <w:rsid w:val="3BDF606C"/>
    <w:rsid w:val="3BFC4B23"/>
    <w:rsid w:val="3C606075"/>
    <w:rsid w:val="3CAD43A2"/>
    <w:rsid w:val="3CE11384"/>
    <w:rsid w:val="3D1231E2"/>
    <w:rsid w:val="3D1A61A8"/>
    <w:rsid w:val="3D6F0EF6"/>
    <w:rsid w:val="3EAA3EDF"/>
    <w:rsid w:val="3FC36883"/>
    <w:rsid w:val="40123579"/>
    <w:rsid w:val="40C61D12"/>
    <w:rsid w:val="40EB24C0"/>
    <w:rsid w:val="411E1638"/>
    <w:rsid w:val="41326E0A"/>
    <w:rsid w:val="414A48C7"/>
    <w:rsid w:val="43844123"/>
    <w:rsid w:val="43A31CF7"/>
    <w:rsid w:val="441874ED"/>
    <w:rsid w:val="44560803"/>
    <w:rsid w:val="446F1DEF"/>
    <w:rsid w:val="44DA702B"/>
    <w:rsid w:val="44E93ED8"/>
    <w:rsid w:val="466200BB"/>
    <w:rsid w:val="47042977"/>
    <w:rsid w:val="471A6804"/>
    <w:rsid w:val="47C56B6B"/>
    <w:rsid w:val="495F2135"/>
    <w:rsid w:val="498062BE"/>
    <w:rsid w:val="4A6332F9"/>
    <w:rsid w:val="4AAE7073"/>
    <w:rsid w:val="4AE30754"/>
    <w:rsid w:val="4C254AB6"/>
    <w:rsid w:val="4CEA5592"/>
    <w:rsid w:val="4DED7523"/>
    <w:rsid w:val="4E5B77BE"/>
    <w:rsid w:val="4E967E90"/>
    <w:rsid w:val="4EEE770C"/>
    <w:rsid w:val="4F1A6826"/>
    <w:rsid w:val="4FDC34E3"/>
    <w:rsid w:val="51D02824"/>
    <w:rsid w:val="52265417"/>
    <w:rsid w:val="527156F4"/>
    <w:rsid w:val="52A5460E"/>
    <w:rsid w:val="52B66194"/>
    <w:rsid w:val="52FF5888"/>
    <w:rsid w:val="535B6B1F"/>
    <w:rsid w:val="536D30D2"/>
    <w:rsid w:val="538E4A94"/>
    <w:rsid w:val="53C86CA6"/>
    <w:rsid w:val="53D864B4"/>
    <w:rsid w:val="55016716"/>
    <w:rsid w:val="551838E3"/>
    <w:rsid w:val="556866F6"/>
    <w:rsid w:val="57A764D5"/>
    <w:rsid w:val="58267074"/>
    <w:rsid w:val="583A23D4"/>
    <w:rsid w:val="599115F6"/>
    <w:rsid w:val="59B37F60"/>
    <w:rsid w:val="59C12A94"/>
    <w:rsid w:val="5A112508"/>
    <w:rsid w:val="5A2967B8"/>
    <w:rsid w:val="5A3711F6"/>
    <w:rsid w:val="5A4249D8"/>
    <w:rsid w:val="5A6A63DA"/>
    <w:rsid w:val="5A86654F"/>
    <w:rsid w:val="5A8A6CE1"/>
    <w:rsid w:val="5AA70426"/>
    <w:rsid w:val="5B0B4201"/>
    <w:rsid w:val="5B60526F"/>
    <w:rsid w:val="5B6E1345"/>
    <w:rsid w:val="5C063C5C"/>
    <w:rsid w:val="5C45703E"/>
    <w:rsid w:val="5D392DC1"/>
    <w:rsid w:val="5F3013C0"/>
    <w:rsid w:val="5F926033"/>
    <w:rsid w:val="5FB73BEF"/>
    <w:rsid w:val="604C78B6"/>
    <w:rsid w:val="60F975CE"/>
    <w:rsid w:val="613554FC"/>
    <w:rsid w:val="616D04BB"/>
    <w:rsid w:val="637508FC"/>
    <w:rsid w:val="63844BD8"/>
    <w:rsid w:val="63FD01CA"/>
    <w:rsid w:val="64D26214"/>
    <w:rsid w:val="655C2101"/>
    <w:rsid w:val="65DB74A3"/>
    <w:rsid w:val="660F6EF4"/>
    <w:rsid w:val="66A07C48"/>
    <w:rsid w:val="66FD73C2"/>
    <w:rsid w:val="67AC02D6"/>
    <w:rsid w:val="67D36B5E"/>
    <w:rsid w:val="67F90CE1"/>
    <w:rsid w:val="682E7885"/>
    <w:rsid w:val="686646E0"/>
    <w:rsid w:val="69B407D0"/>
    <w:rsid w:val="6B024205"/>
    <w:rsid w:val="6C0E513D"/>
    <w:rsid w:val="6CBA3870"/>
    <w:rsid w:val="6CC856FE"/>
    <w:rsid w:val="6D4259B8"/>
    <w:rsid w:val="6DB729D0"/>
    <w:rsid w:val="6EEA70F3"/>
    <w:rsid w:val="6F8D3143"/>
    <w:rsid w:val="6FA37C38"/>
    <w:rsid w:val="6FDA6104"/>
    <w:rsid w:val="70435C6B"/>
    <w:rsid w:val="706E5B73"/>
    <w:rsid w:val="726E11B1"/>
    <w:rsid w:val="72904BF5"/>
    <w:rsid w:val="72DE5130"/>
    <w:rsid w:val="733028FA"/>
    <w:rsid w:val="736E02F6"/>
    <w:rsid w:val="748726BB"/>
    <w:rsid w:val="748B171D"/>
    <w:rsid w:val="74981B60"/>
    <w:rsid w:val="74CE0DE0"/>
    <w:rsid w:val="74EA0572"/>
    <w:rsid w:val="759F0541"/>
    <w:rsid w:val="75B668A4"/>
    <w:rsid w:val="761913AD"/>
    <w:rsid w:val="763E6E84"/>
    <w:rsid w:val="770603A5"/>
    <w:rsid w:val="77504732"/>
    <w:rsid w:val="775C4726"/>
    <w:rsid w:val="77DF256D"/>
    <w:rsid w:val="78727F08"/>
    <w:rsid w:val="79643CDC"/>
    <w:rsid w:val="7A236B57"/>
    <w:rsid w:val="7A2B0A99"/>
    <w:rsid w:val="7A7B6646"/>
    <w:rsid w:val="7A8259A5"/>
    <w:rsid w:val="7A99117F"/>
    <w:rsid w:val="7ACB5ED9"/>
    <w:rsid w:val="7BB71A00"/>
    <w:rsid w:val="7BD74612"/>
    <w:rsid w:val="7C515CA6"/>
    <w:rsid w:val="7CA7655F"/>
    <w:rsid w:val="7CEA2B6D"/>
    <w:rsid w:val="7D272CE3"/>
    <w:rsid w:val="7DBB697A"/>
    <w:rsid w:val="7E031A44"/>
    <w:rsid w:val="7E44065E"/>
    <w:rsid w:val="7E456802"/>
    <w:rsid w:val="7EDE18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numPr>
        <w:ilvl w:val="1"/>
        <w:numId w:val="1"/>
      </w:numPr>
      <w:adjustRightInd w:val="0"/>
      <w:spacing w:before="100" w:after="100" w:line="360" w:lineRule="auto"/>
      <w:jc w:val="left"/>
      <w:textAlignment w:val="baseline"/>
      <w:outlineLvl w:val="1"/>
    </w:pPr>
    <w:rPr>
      <w:rFonts w:ascii="Arial" w:hAnsi="Arial" w:eastAsia="黑体"/>
      <w:b/>
      <w:sz w:val="28"/>
      <w:szCs w:val="20"/>
    </w:rPr>
  </w:style>
  <w:style w:type="paragraph" w:styleId="4">
    <w:name w:val="heading 3"/>
    <w:basedOn w:val="1"/>
    <w:next w:val="1"/>
    <w:qFormat/>
    <w:uiPriority w:val="0"/>
    <w:pPr>
      <w:jc w:val="left"/>
      <w:outlineLvl w:val="2"/>
    </w:pPr>
    <w:rPr>
      <w:sz w:val="24"/>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Salutation"/>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w:basedOn w:val="1"/>
    <w:next w:val="6"/>
    <w:qFormat/>
    <w:uiPriority w:val="0"/>
    <w:pPr>
      <w:spacing w:after="120"/>
    </w:pPr>
  </w:style>
  <w:style w:type="paragraph" w:styleId="8">
    <w:name w:val="Body Text Indent"/>
    <w:basedOn w:val="1"/>
    <w:next w:val="9"/>
    <w:qFormat/>
    <w:uiPriority w:val="0"/>
    <w:pPr>
      <w:autoSpaceDE w:val="0"/>
      <w:autoSpaceDN w:val="0"/>
      <w:adjustRightInd w:val="0"/>
      <w:spacing w:line="360" w:lineRule="auto"/>
      <w:ind w:firstLine="480" w:firstLineChars="200"/>
    </w:pPr>
    <w:rPr>
      <w:rFonts w:ascii="宋体" w:hAnsi="宋体"/>
      <w:kern w:val="0"/>
      <w:sz w:val="24"/>
      <w:szCs w:val="21"/>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Indent 2"/>
    <w:basedOn w:val="1"/>
    <w:next w:val="11"/>
    <w:qFormat/>
    <w:uiPriority w:val="0"/>
    <w:pPr>
      <w:spacing w:line="500" w:lineRule="exact"/>
      <w:ind w:firstLine="573"/>
    </w:pPr>
    <w:rPr>
      <w:sz w:val="28"/>
    </w:rPr>
  </w:style>
  <w:style w:type="paragraph" w:styleId="11">
    <w:name w:val="Body Text First Indent 2"/>
    <w:basedOn w:val="8"/>
    <w:next w:val="1"/>
    <w:qFormat/>
    <w:uiPriority w:val="0"/>
    <w:pPr>
      <w:spacing w:after="120" w:line="240" w:lineRule="auto"/>
      <w:ind w:left="420" w:leftChars="200" w:firstLine="420"/>
    </w:pPr>
    <w:rPr>
      <w:rFonts w:ascii="Calibri" w:hAnsi="Calibri"/>
      <w:sz w:val="21"/>
      <w:szCs w:val="22"/>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index heading"/>
    <w:basedOn w:val="1"/>
    <w:next w:val="16"/>
    <w:qFormat/>
    <w:uiPriority w:val="0"/>
    <w:rPr>
      <w:szCs w:val="20"/>
    </w:rPr>
  </w:style>
  <w:style w:type="paragraph" w:styleId="16">
    <w:name w:val="index 1"/>
    <w:basedOn w:val="1"/>
    <w:next w:val="1"/>
    <w:qFormat/>
    <w:uiPriority w:val="0"/>
    <w:pPr>
      <w:jc w:val="center"/>
    </w:pPr>
    <w:rPr>
      <w:szCs w:val="20"/>
    </w:rPr>
  </w:style>
  <w:style w:type="paragraph" w:styleId="17">
    <w:name w:val="toc 9"/>
    <w:next w:val="1"/>
    <w:qFormat/>
    <w:uiPriority w:val="0"/>
    <w:pPr>
      <w:widowControl w:val="0"/>
      <w:wordWrap w:val="0"/>
      <w:ind w:left="2975"/>
      <w:jc w:val="both"/>
    </w:pPr>
    <w:rPr>
      <w:rFonts w:ascii="Times New Roman" w:hAnsi="Times New Roman" w:eastAsia="宋体" w:cs="Times New Roman"/>
      <w:kern w:val="2"/>
      <w:sz w:val="21"/>
      <w:szCs w:val="22"/>
      <w:lang w:val="en-US" w:eastAsia="zh-CN" w:bidi="ar-SA"/>
    </w:rPr>
  </w:style>
  <w:style w:type="paragraph" w:styleId="18">
    <w:name w:val="Body Text 2"/>
    <w:basedOn w:val="1"/>
    <w:qFormat/>
    <w:uiPriority w:val="0"/>
    <w:pPr>
      <w:spacing w:after="120" w:line="480" w:lineRule="auto"/>
    </w:pPr>
  </w:style>
  <w:style w:type="paragraph" w:styleId="19">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21">
    <w:name w:val="Table Grid"/>
    <w:basedOn w:val="20"/>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0"/>
    <w:rPr>
      <w:b/>
      <w:bCs/>
    </w:rPr>
  </w:style>
  <w:style w:type="character" w:styleId="24">
    <w:name w:val="page number"/>
    <w:qFormat/>
    <w:uiPriority w:val="0"/>
  </w:style>
  <w:style w:type="character" w:styleId="25">
    <w:name w:val="FollowedHyperlink"/>
    <w:qFormat/>
    <w:uiPriority w:val="0"/>
    <w:rPr>
      <w:rFonts w:hint="eastAsia" w:ascii="微软雅黑" w:hAnsi="微软雅黑" w:eastAsia="微软雅黑" w:cs="微软雅黑"/>
      <w:color w:val="333333"/>
      <w:u w:val="none"/>
    </w:rPr>
  </w:style>
  <w:style w:type="character" w:styleId="26">
    <w:name w:val="Emphasis"/>
    <w:qFormat/>
    <w:uiPriority w:val="0"/>
  </w:style>
  <w:style w:type="character" w:styleId="27">
    <w:name w:val="HTML Definition"/>
    <w:qFormat/>
    <w:uiPriority w:val="0"/>
  </w:style>
  <w:style w:type="character" w:styleId="28">
    <w:name w:val="HTML Variable"/>
    <w:qFormat/>
    <w:uiPriority w:val="0"/>
  </w:style>
  <w:style w:type="character" w:styleId="29">
    <w:name w:val="Hyperlink"/>
    <w:qFormat/>
    <w:uiPriority w:val="0"/>
    <w:rPr>
      <w:rFonts w:ascii="微软雅黑" w:hAnsi="微软雅黑" w:eastAsia="微软雅黑" w:cs="微软雅黑"/>
      <w:color w:val="333333"/>
      <w:u w:val="none"/>
    </w:rPr>
  </w:style>
  <w:style w:type="character" w:styleId="30">
    <w:name w:val="HTML Code"/>
    <w:qFormat/>
    <w:uiPriority w:val="0"/>
    <w:rPr>
      <w:rFonts w:hint="default" w:ascii="Consolas" w:hAnsi="Consolas" w:eastAsia="Consolas" w:cs="Consolas"/>
      <w:color w:val="C7254E"/>
      <w:sz w:val="21"/>
      <w:szCs w:val="21"/>
      <w:shd w:val="clear" w:color="auto" w:fill="F9F2F4"/>
    </w:rPr>
  </w:style>
  <w:style w:type="character" w:styleId="31">
    <w:name w:val="annotation reference"/>
    <w:semiHidden/>
    <w:qFormat/>
    <w:uiPriority w:val="0"/>
    <w:rPr>
      <w:sz w:val="21"/>
      <w:szCs w:val="21"/>
    </w:rPr>
  </w:style>
  <w:style w:type="character" w:styleId="32">
    <w:name w:val="HTML Cite"/>
    <w:qFormat/>
    <w:uiPriority w:val="0"/>
  </w:style>
  <w:style w:type="character" w:styleId="33">
    <w:name w:val="HTML Keyboard"/>
    <w:qFormat/>
    <w:uiPriority w:val="0"/>
    <w:rPr>
      <w:rFonts w:hint="default" w:ascii="Consolas" w:hAnsi="Consolas" w:eastAsia="Consolas" w:cs="Consolas"/>
      <w:color w:val="FFFFFF"/>
      <w:sz w:val="21"/>
      <w:szCs w:val="21"/>
      <w:shd w:val="clear" w:color="auto" w:fill="333333"/>
    </w:rPr>
  </w:style>
  <w:style w:type="character" w:styleId="34">
    <w:name w:val="HTML Sample"/>
    <w:qFormat/>
    <w:uiPriority w:val="0"/>
    <w:rPr>
      <w:rFonts w:ascii="Consolas" w:hAnsi="Consolas" w:eastAsia="Consolas" w:cs="Consolas"/>
      <w:sz w:val="21"/>
      <w:szCs w:val="21"/>
    </w:rPr>
  </w:style>
  <w:style w:type="paragraph" w:customStyle="1" w:styleId="35">
    <w:name w:val="标号正文"/>
    <w:basedOn w:val="1"/>
    <w:next w:val="1"/>
    <w:qFormat/>
    <w:uiPriority w:val="99"/>
    <w:pPr>
      <w:tabs>
        <w:tab w:val="left" w:pos="1540"/>
      </w:tabs>
      <w:overflowPunct w:val="0"/>
      <w:snapToGrid w:val="0"/>
      <w:spacing w:line="360" w:lineRule="auto"/>
      <w:ind w:firstLine="1040"/>
      <w:jc w:val="left"/>
    </w:pPr>
    <w:rPr>
      <w:rFonts w:ascii="Arial" w:hAnsi="Arial"/>
      <w:sz w:val="24"/>
      <w:szCs w:val="20"/>
    </w:rPr>
  </w:style>
  <w:style w:type="paragraph" w:customStyle="1" w:styleId="36">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customStyle="1" w:styleId="37">
    <w:name w:val="_Style 4"/>
    <w:basedOn w:val="1"/>
    <w:qFormat/>
    <w:uiPriority w:val="0"/>
    <w:rPr>
      <w:szCs w:val="20"/>
    </w:rPr>
  </w:style>
  <w:style w:type="paragraph" w:customStyle="1" w:styleId="38">
    <w:name w:val="标题2"/>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sz w:val="32"/>
      <w:szCs w:val="24"/>
      <w:lang w:val="en-US" w:eastAsia="zh-CN" w:bidi="ar-SA"/>
    </w:rPr>
  </w:style>
  <w:style w:type="paragraph" w:customStyle="1" w:styleId="39">
    <w:name w:val="正文1"/>
    <w:basedOn w:val="1"/>
    <w:qFormat/>
    <w:uiPriority w:val="0"/>
    <w:pPr>
      <w:spacing w:line="360" w:lineRule="auto"/>
      <w:ind w:firstLine="400" w:firstLineChars="200"/>
      <w:jc w:val="both"/>
    </w:pPr>
    <w:rPr>
      <w:rFonts w:ascii="Times New Roman" w:hAnsi="Times New Roman"/>
      <w:sz w:val="24"/>
    </w:rPr>
  </w:style>
  <w:style w:type="paragraph" w:customStyle="1" w:styleId="40">
    <w:name w:val="新报告表正文"/>
    <w:basedOn w:val="1"/>
    <w:qFormat/>
    <w:uiPriority w:val="0"/>
    <w:pPr>
      <w:kinsoku w:val="0"/>
      <w:wordWrap w:val="0"/>
      <w:spacing w:line="360" w:lineRule="auto"/>
      <w:ind w:firstLine="720" w:firstLineChars="200"/>
    </w:pPr>
    <w:rPr>
      <w:rFonts w:hint="eastAsia" w:ascii="Times New Roman" w:hAnsi="Times New Roman" w:eastAsia="宋体"/>
      <w:color w:val="000000"/>
      <w:sz w:val="24"/>
      <w:szCs w:val="21"/>
    </w:rPr>
  </w:style>
  <w:style w:type="paragraph" w:customStyle="1" w:styleId="41">
    <w:name w:val="文本"/>
    <w:basedOn w:val="1"/>
    <w:next w:val="1"/>
    <w:qFormat/>
    <w:uiPriority w:val="0"/>
    <w:pPr>
      <w:autoSpaceDE w:val="0"/>
      <w:autoSpaceDN w:val="0"/>
      <w:ind w:firstLine="480"/>
    </w:pPr>
    <w:rPr>
      <w:rFonts w:cs="Times New Roman"/>
      <w:szCs w:val="24"/>
      <w:lang w:val="zh-CN"/>
    </w:rPr>
  </w:style>
  <w:style w:type="paragraph" w:customStyle="1" w:styleId="42">
    <w:name w:val="Default"/>
    <w:basedOn w:val="43"/>
    <w:next w:val="4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图、表内容"/>
    <w:qFormat/>
    <w:uiPriority w:val="0"/>
    <w:pPr>
      <w:widowControl w:val="0"/>
      <w:jc w:val="center"/>
    </w:pPr>
    <w:rPr>
      <w:rFonts w:ascii="Times New Roman" w:hAnsi="Times New Roman" w:eastAsia="宋体" w:cs="Times New Roman"/>
      <w:kern w:val="2"/>
      <w:sz w:val="21"/>
      <w:szCs w:val="24"/>
      <w:lang w:val="en-US" w:eastAsia="zh-CN" w:bidi="ar-SA"/>
    </w:rPr>
  </w:style>
  <w:style w:type="paragraph" w:customStyle="1" w:styleId="44">
    <w:name w:val="样式35"/>
    <w:basedOn w:val="1"/>
    <w:qFormat/>
    <w:uiPriority w:val="0"/>
    <w:pPr>
      <w:adjustRightInd w:val="0"/>
      <w:spacing w:line="312" w:lineRule="auto"/>
      <w:ind w:firstLine="567"/>
    </w:pPr>
    <w:rPr>
      <w:rFonts w:ascii="宋体"/>
      <w:kern w:val="0"/>
      <w:sz w:val="28"/>
      <w:szCs w:val="20"/>
    </w:rPr>
  </w:style>
  <w:style w:type="paragraph" w:customStyle="1" w:styleId="45">
    <w:name w:val="1正文段落"/>
    <w:basedOn w:val="1"/>
    <w:qFormat/>
    <w:uiPriority w:val="0"/>
    <w:pPr>
      <w:spacing w:line="360" w:lineRule="auto"/>
      <w:ind w:firstLine="200" w:firstLineChars="200"/>
    </w:pPr>
    <w:rPr>
      <w:rFonts w:ascii="Times New Roman" w:hAnsi="Times New Roman" w:eastAsia="宋体"/>
      <w:snapToGrid w:val="0"/>
      <w:kern w:val="0"/>
      <w:sz w:val="24"/>
      <w:szCs w:val="21"/>
    </w:rPr>
  </w:style>
  <w:style w:type="paragraph" w:customStyle="1" w:styleId="46">
    <w:name w:val=" Char Char Char"/>
    <w:basedOn w:val="1"/>
    <w:qFormat/>
    <w:uiPriority w:val="0"/>
    <w:rPr>
      <w:sz w:val="24"/>
    </w:rPr>
  </w:style>
  <w:style w:type="paragraph" w:customStyle="1" w:styleId="47">
    <w:name w:val="005_表格"/>
    <w:basedOn w:val="1"/>
    <w:next w:val="1"/>
    <w:qFormat/>
    <w:uiPriority w:val="0"/>
    <w:pPr>
      <w:wordWrap w:val="0"/>
      <w:spacing w:line="240" w:lineRule="auto"/>
      <w:ind w:firstLine="0" w:firstLineChars="0"/>
      <w:jc w:val="center"/>
    </w:pPr>
    <w:rPr>
      <w:rFonts w:ascii="Times New Roman" w:hAnsi="Times New Roman" w:eastAsia="宋体"/>
      <w:sz w:val="21"/>
      <w:szCs w:val="21"/>
    </w:rPr>
  </w:style>
  <w:style w:type="character" w:customStyle="1" w:styleId="48">
    <w:name w:val="hover2"/>
    <w:qFormat/>
    <w:uiPriority w:val="0"/>
    <w:rPr>
      <w:sz w:val="21"/>
      <w:szCs w:val="21"/>
    </w:rPr>
  </w:style>
  <w:style w:type="character" w:customStyle="1" w:styleId="49">
    <w:name w:val="font21"/>
    <w:qFormat/>
    <w:uiPriority w:val="0"/>
    <w:rPr>
      <w:rFonts w:hint="eastAsia" w:ascii="宋体" w:hAnsi="宋体" w:eastAsia="宋体" w:cs="宋体"/>
      <w:color w:val="FF0000"/>
      <w:sz w:val="21"/>
      <w:szCs w:val="21"/>
      <w:u w:val="none"/>
    </w:rPr>
  </w:style>
  <w:style w:type="character" w:customStyle="1" w:styleId="50">
    <w:name w:val="layui-layer-tabnow"/>
    <w:qFormat/>
    <w:uiPriority w:val="0"/>
    <w:rPr>
      <w:bdr w:val="single" w:color="CCCCCC" w:sz="6" w:space="0"/>
      <w:shd w:val="clear" w:color="auto" w:fill="FFFFFF"/>
    </w:rPr>
  </w:style>
  <w:style w:type="character" w:customStyle="1" w:styleId="51">
    <w:name w:val="hover"/>
    <w:qFormat/>
    <w:uiPriority w:val="0"/>
  </w:style>
  <w:style w:type="character" w:customStyle="1" w:styleId="52">
    <w:name w:val="fontstyle1"/>
    <w:qFormat/>
    <w:uiPriority w:val="0"/>
    <w:rPr>
      <w:sz w:val="21"/>
      <w:szCs w:val="21"/>
    </w:rPr>
  </w:style>
  <w:style w:type="character" w:customStyle="1" w:styleId="53">
    <w:name w:val="hover1"/>
    <w:qFormat/>
    <w:uiPriority w:val="0"/>
    <w:rPr>
      <w:shd w:val="clear" w:color="auto" w:fill="F3F3F3"/>
    </w:rPr>
  </w:style>
  <w:style w:type="character" w:customStyle="1" w:styleId="54">
    <w:name w:val="change-bigic"/>
    <w:qFormat/>
    <w:uiPriority w:val="0"/>
    <w:rPr>
      <w:vanish/>
    </w:rPr>
  </w:style>
  <w:style w:type="character" w:customStyle="1" w:styleId="55">
    <w:name w:val="hover3"/>
    <w:qFormat/>
    <w:uiPriority w:val="0"/>
    <w:rPr>
      <w:shd w:val="clear" w:color="auto" w:fill="F3F3F3"/>
    </w:rPr>
  </w:style>
  <w:style w:type="character" w:customStyle="1" w:styleId="56">
    <w:name w:val="max-bigic"/>
    <w:qFormat/>
    <w:uiPriority w:val="0"/>
    <w:rPr>
      <w:vanish/>
    </w:rPr>
  </w:style>
  <w:style w:type="character" w:customStyle="1" w:styleId="57">
    <w:name w:val="first-child"/>
    <w:qFormat/>
    <w:uiPriority w:val="0"/>
  </w:style>
  <w:style w:type="character" w:customStyle="1" w:styleId="58">
    <w:name w:val="close-bigi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1707</Words>
  <Characters>1847</Characters>
  <Lines>7</Lines>
  <Paragraphs>2</Paragraphs>
  <TotalTime>2</TotalTime>
  <ScaleCrop>false</ScaleCrop>
  <LinksUpToDate>false</LinksUpToDate>
  <CharactersWithSpaces>1976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2025-03-13T01:22:00Z</dcterms:created>
  <dc:creator>微软用户</dc:creator>
  <cp:lastModifiedBy>赵涛</cp:lastModifiedBy>
  <cp:lastPrinted>2025-01-17T08:02:00Z</cp:lastPrinted>
  <dcterms:modified xsi:type="dcterms:W3CDTF">2025-04-18T07:34:15Z</dcterms:modified>
  <dc:title>金环[2010]72号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766A6A5C85EB40EE9FBE489351987304_13</vt:lpwstr>
  </property>
  <property fmtid="{D5CDD505-2E9C-101B-9397-08002B2CF9AE}" pid="4" name="KSOTemplateDocerSaveRecord">
    <vt:lpwstr>eyJoZGlkIjoiZWRjYmUxNjEwZGRkYmM5OTA5MzZjYzY0NWMzNThlYmEiLCJ1c2VySWQiOiI1NjIzOTE0NjYifQ==</vt:lpwstr>
  </property>
</Properties>
</file>