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BA196">
      <w:pPr>
        <w:spacing w:line="560" w:lineRule="exact"/>
        <w:jc w:val="left"/>
        <w:rPr>
          <w:rFonts w:hint="eastAsia"/>
        </w:rPr>
      </w:pPr>
    </w:p>
    <w:p w14:paraId="56FD79BD">
      <w:pPr>
        <w:spacing w:line="560" w:lineRule="exact"/>
        <w:rPr>
          <w:rFonts w:hint="eastAsia" w:ascii="仿宋_GB2312" w:eastAsia="仿宋_GB2312"/>
          <w:sz w:val="32"/>
          <w:szCs w:val="32"/>
        </w:rPr>
      </w:pPr>
      <w:bookmarkStart w:id="1" w:name="_GoBack"/>
      <w:bookmarkEnd w:id="1"/>
      <w:r>
        <w:rPr>
          <w:rFonts w:hint="eastAsia"/>
        </w:rPr>
        <w:t xml:space="preserve">                                     </w:t>
      </w:r>
    </w:p>
    <w:p w14:paraId="14FC38B1">
      <w:pPr>
        <w:keepNext w:val="0"/>
        <w:keepLines w:val="0"/>
        <w:pageBreakBefore w:val="0"/>
        <w:widowControl w:val="0"/>
        <w:kinsoku/>
        <w:wordWrap/>
        <w:overflowPunct/>
        <w:topLinePunct w:val="0"/>
        <w:autoSpaceDE/>
        <w:autoSpaceDN/>
        <w:bidi w:val="0"/>
        <w:adjustRightInd/>
        <w:snapToGrid/>
        <w:spacing w:before="24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高端柔版包装包材AI智慧标杆基地项目（一期）</w:t>
      </w:r>
      <w:r>
        <w:rPr>
          <w:rFonts w:hint="eastAsia" w:ascii="方正小标宋简体" w:hAnsi="方正小标宋简体" w:eastAsia="方正小标宋简体" w:cs="方正小标宋简体"/>
          <w:sz w:val="44"/>
          <w:szCs w:val="44"/>
        </w:rPr>
        <w:t>项目环境影响报告表的批复</w:t>
      </w:r>
    </w:p>
    <w:p w14:paraId="32971A6E">
      <w:pPr>
        <w:pStyle w:val="2"/>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313889AE">
      <w:pPr>
        <w:keepNext w:val="0"/>
        <w:keepLines w:val="0"/>
        <w:pageBreakBefore w:val="0"/>
        <w:widowControl/>
        <w:kinsoku/>
        <w:wordWrap w:val="0"/>
        <w:overflowPunct/>
        <w:topLinePunct w:val="0"/>
        <w:bidi w:val="0"/>
        <w:snapToGrid/>
        <w:spacing w:line="52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安徽金申健智能包装有限公司</w:t>
      </w:r>
      <w:r>
        <w:rPr>
          <w:rFonts w:hint="default" w:ascii="Times New Roman" w:hAnsi="Times New Roman" w:eastAsia="仿宋_GB2312" w:cs="Times New Roman"/>
          <w:color w:val="auto"/>
          <w:kern w:val="0"/>
          <w:sz w:val="32"/>
          <w:szCs w:val="32"/>
        </w:rPr>
        <w:t>：</w:t>
      </w:r>
    </w:p>
    <w:p w14:paraId="45663AA8">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你单位报来《</w:t>
      </w:r>
      <w:r>
        <w:rPr>
          <w:rFonts w:hint="default" w:ascii="Times New Roman" w:hAnsi="Times New Roman" w:eastAsia="仿宋_GB2312" w:cs="Times New Roman"/>
          <w:color w:val="auto"/>
          <w:kern w:val="0"/>
          <w:sz w:val="32"/>
          <w:szCs w:val="32"/>
          <w:lang w:val="en-US" w:eastAsia="zh-CN"/>
        </w:rPr>
        <w:t>高端柔版包装包材AI智慧标杆基地项目（一期）</w:t>
      </w:r>
      <w:r>
        <w:rPr>
          <w:rFonts w:hint="default" w:ascii="Times New Roman" w:hAnsi="Times New Roman" w:eastAsia="仿宋_GB2312" w:cs="Times New Roman"/>
          <w:color w:val="auto"/>
          <w:kern w:val="0"/>
          <w:sz w:val="32"/>
          <w:szCs w:val="32"/>
        </w:rPr>
        <w:t>项目环境影响评价报告表》（以下简称《报告表》）及有关材料收悉。</w:t>
      </w:r>
      <w:r>
        <w:rPr>
          <w:rFonts w:hint="default" w:ascii="Times New Roman" w:hAnsi="Times New Roman" w:eastAsia="仿宋_GB2312" w:cs="Times New Roman"/>
          <w:color w:val="auto"/>
          <w:kern w:val="0"/>
          <w:sz w:val="32"/>
          <w:szCs w:val="32"/>
          <w:lang w:val="en-US" w:eastAsia="zh-CN"/>
        </w:rPr>
        <w:t>该项目位于安徽六安金安经济开发区一元大道与龙池路交口东北角</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占地面积约95亩（63328m</w:t>
      </w:r>
      <w:r>
        <w:rPr>
          <w:rFonts w:hint="default" w:ascii="Times New Roman" w:hAnsi="Times New Roman" w:eastAsia="仿宋_GB2312" w:cs="Times New Roman"/>
          <w:color w:val="auto"/>
          <w:kern w:val="0"/>
          <w:sz w:val="32"/>
          <w:szCs w:val="32"/>
          <w:vertAlign w:val="superscript"/>
          <w:lang w:val="en-US" w:eastAsia="zh-CN"/>
        </w:rPr>
        <w:t>2</w:t>
      </w:r>
      <w:r>
        <w:rPr>
          <w:rFonts w:hint="default" w:ascii="Times New Roman" w:hAnsi="Times New Roman" w:eastAsia="仿宋_GB2312" w:cs="Times New Roman"/>
          <w:color w:val="auto"/>
          <w:kern w:val="0"/>
          <w:sz w:val="32"/>
          <w:szCs w:val="32"/>
          <w:lang w:val="en-US" w:eastAsia="zh-CN"/>
        </w:rPr>
        <w:t>），建设1栋联合厂房、1栋研发楼、1栋办公楼，合计建筑面积73762m</w:t>
      </w:r>
      <w:r>
        <w:rPr>
          <w:rFonts w:hint="default" w:ascii="Times New Roman" w:hAnsi="Times New Roman" w:eastAsia="仿宋_GB2312" w:cs="Times New Roman"/>
          <w:color w:val="auto"/>
          <w:kern w:val="0"/>
          <w:sz w:val="32"/>
          <w:szCs w:val="32"/>
          <w:vertAlign w:val="superscript"/>
          <w:lang w:val="en-US" w:eastAsia="zh-CN"/>
        </w:rPr>
        <w:t>2</w:t>
      </w:r>
      <w:r>
        <w:rPr>
          <w:rFonts w:hint="default" w:ascii="Times New Roman" w:hAnsi="Times New Roman" w:eastAsia="仿宋_GB2312" w:cs="Times New Roman"/>
          <w:color w:val="auto"/>
          <w:kern w:val="0"/>
          <w:sz w:val="32"/>
          <w:szCs w:val="32"/>
          <w:lang w:val="en-US" w:eastAsia="zh-CN"/>
        </w:rPr>
        <w:t>，建设1条</w:t>
      </w:r>
      <w:r>
        <w:rPr>
          <w:rFonts w:hint="default" w:ascii="Times New Roman" w:hAnsi="Times New Roman" w:eastAsia="仿宋_GB2312" w:cs="Times New Roman"/>
          <w:color w:val="auto"/>
          <w:kern w:val="0"/>
          <w:sz w:val="32"/>
          <w:szCs w:val="32"/>
          <w:lang w:eastAsia="zh-CN"/>
        </w:rPr>
        <w:t>智能高速瓦楞纸板线</w:t>
      </w:r>
      <w:r>
        <w:rPr>
          <w:rFonts w:hint="default" w:ascii="Times New Roman" w:hAnsi="Times New Roman" w:eastAsia="仿宋_GB2312" w:cs="Times New Roman"/>
          <w:color w:val="auto"/>
          <w:kern w:val="0"/>
          <w:sz w:val="32"/>
          <w:szCs w:val="32"/>
          <w:lang w:val="en-US" w:eastAsia="zh-CN"/>
        </w:rPr>
        <w:t>生产线以及印刷、模切等</w:t>
      </w:r>
      <w:r>
        <w:rPr>
          <w:rFonts w:hint="eastAsia" w:eastAsia="仿宋_GB2312" w:cs="Times New Roman"/>
          <w:color w:val="auto"/>
          <w:kern w:val="0"/>
          <w:sz w:val="32"/>
          <w:szCs w:val="32"/>
          <w:lang w:val="en-US" w:eastAsia="zh-CN"/>
        </w:rPr>
        <w:t>相关配套设施</w:t>
      </w:r>
      <w:r>
        <w:rPr>
          <w:rFonts w:hint="default" w:ascii="Times New Roman" w:hAnsi="Times New Roman" w:eastAsia="仿宋_GB2312" w:cs="Times New Roman"/>
          <w:color w:val="auto"/>
          <w:kern w:val="0"/>
          <w:sz w:val="32"/>
          <w:szCs w:val="32"/>
          <w:lang w:val="en-US" w:eastAsia="zh-CN"/>
        </w:rPr>
        <w:t>，项目建成后可实现年产1.8亿平方米高端瓦楞包装箱（盒）的生产能力。该项目已经六安金安经济开发区经济发展局备案，项目代码为：（2412-341574-04-01-811008），根据《中华人民共和国环境影响评价法》等有关法律规定和专家评审意见，现批复如下：</w:t>
      </w:r>
    </w:p>
    <w:p w14:paraId="7E8A5381">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一、在全面落实《报告表》提出的各项环境保护措施的前提下，从环境保护角度，我局同意你单位按《报告表》所列建设项目的性质、规模、地点、工艺以及污染防治措施进行建设。</w:t>
      </w:r>
    </w:p>
    <w:p w14:paraId="3616E806">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二、建设单位要采取措施加强施工期的环境管理，根据《安徽省建筑工程施工和预拌混凝土生产扬尘污染防治标准》要求，切实做好以下工作：</w:t>
      </w:r>
    </w:p>
    <w:p w14:paraId="05B31B83">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（一）合理安排施工时间，禁止午休（12:00—14:00）、夜间（22：00-次日6:00）施工，确因特殊需要须连续作业的，必须有县级以上人民政府或者其有关主管部门的证明并向周围群众公示后才能施工。</w:t>
      </w:r>
    </w:p>
    <w:p w14:paraId="196B8FD4">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（二）施工期建筑废水经沉淀池处理后回用于施工，严禁乱倒乱排，防止污染水环境。施工期生活污水经化粪池处理后接管市政污水管网。</w:t>
      </w:r>
    </w:p>
    <w:p w14:paraId="05EDD123">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（三）施工场地要采取四周设置围挡、洒水、覆盖防尘网等防尘措施，做到施工现场扬尘治理“六个百分之百”，尽可能减少扬尘对周围环境的污染。</w:t>
      </w:r>
    </w:p>
    <w:p w14:paraId="7E0D9FC2">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（四）施工过程中产生的弃土碎石尽可能合理回填利用，不能回填利用的，要及时清运到政府部门规定的场所处置，不得随意倾倒、堆放。</w:t>
      </w:r>
    </w:p>
    <w:p w14:paraId="2FC730EC">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（五）施工过程中必须采取合理安排施工时间，采取拦挡、地面硬化等有效措施防治水土流失。</w:t>
      </w:r>
    </w:p>
    <w:p w14:paraId="1AA7CB96">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三、项目投产后,要认真落实《报告表》中提出的各项环境保护措施，并切实做好以下工作：</w:t>
      </w:r>
    </w:p>
    <w:p w14:paraId="711552F9">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（一）原则同意《报告表</w:t>
      </w:r>
      <w:r>
        <w:rPr>
          <w:rFonts w:hint="default" w:ascii="Times New Roman" w:hAnsi="Times New Roman" w:eastAsia="仿宋_GB2312" w:cs="Times New Roman"/>
          <w:color w:val="auto"/>
          <w:kern w:val="0"/>
          <w:sz w:val="32"/>
          <w:szCs w:val="32"/>
          <w:lang w:val="en-GB" w:eastAsia="zh-CN"/>
        </w:rPr>
        <w:t>》提出的废气处</w:t>
      </w:r>
      <w:r>
        <w:rPr>
          <w:rFonts w:hint="default" w:ascii="Times New Roman" w:hAnsi="Times New Roman" w:eastAsia="仿宋_GB2312" w:cs="Times New Roman"/>
          <w:color w:val="auto"/>
          <w:kern w:val="0"/>
          <w:sz w:val="32"/>
          <w:szCs w:val="32"/>
          <w:lang w:val="en-US" w:eastAsia="zh-CN"/>
        </w:rPr>
        <w:t>理方案。项目制胶废气（含淀粉卸料废气、淀粉储罐废气、辅料计量投料废气、搅拌废气），制胶房设为密闭空间，淀粉卸料废气经集气罩收集</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淀粉储罐废气经储罐配套滤筒过滤处理后</w:t>
      </w:r>
      <w:r>
        <w:rPr>
          <w:rFonts w:hint="eastAsia" w:eastAsia="仿宋_GB2312" w:cs="Times New Roman"/>
          <w:color w:val="auto"/>
          <w:kern w:val="0"/>
          <w:sz w:val="32"/>
          <w:szCs w:val="32"/>
          <w:lang w:val="en-US" w:eastAsia="zh-CN"/>
        </w:rPr>
        <w:t>与</w:t>
      </w:r>
      <w:r>
        <w:rPr>
          <w:rFonts w:hint="default" w:ascii="Times New Roman" w:hAnsi="Times New Roman" w:eastAsia="仿宋_GB2312" w:cs="Times New Roman"/>
          <w:color w:val="auto"/>
          <w:kern w:val="0"/>
          <w:sz w:val="32"/>
          <w:szCs w:val="32"/>
          <w:lang w:val="en-US" w:eastAsia="zh-CN"/>
        </w:rPr>
        <w:t>辅料计量投料废气、搅拌废气</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经密闭空间收集合并后引入1套袋式除尘器处理后再经1根26m高排气筒排放</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其废气中颗粒物等主要污染物排放</w:t>
      </w:r>
      <w:r>
        <w:rPr>
          <w:rFonts w:hint="eastAsia" w:eastAsia="仿宋_GB2312" w:cs="Times New Roman"/>
          <w:color w:val="auto"/>
          <w:kern w:val="0"/>
          <w:sz w:val="32"/>
          <w:szCs w:val="32"/>
          <w:lang w:val="en-US" w:eastAsia="zh-CN"/>
        </w:rPr>
        <w:t>须满足</w:t>
      </w:r>
      <w:r>
        <w:rPr>
          <w:rFonts w:hint="default" w:ascii="Times New Roman" w:hAnsi="Times New Roman" w:eastAsia="仿宋_GB2312" w:cs="Times New Roman"/>
          <w:color w:val="auto"/>
          <w:kern w:val="0"/>
          <w:sz w:val="32"/>
          <w:szCs w:val="32"/>
          <w:lang w:val="en-US" w:eastAsia="zh-CN"/>
        </w:rPr>
        <w:t>《涂料、油墨及胶粘剂工业大气污染物排放标准》（GB37824-2019）中相关限值</w:t>
      </w:r>
      <w:r>
        <w:rPr>
          <w:rFonts w:hint="eastAsia" w:eastAsia="仿宋_GB2312" w:cs="Times New Roman"/>
          <w:color w:val="auto"/>
          <w:kern w:val="0"/>
          <w:sz w:val="32"/>
          <w:szCs w:val="32"/>
          <w:lang w:val="en-US" w:eastAsia="zh-CN"/>
        </w:rPr>
        <w:t>要求</w:t>
      </w:r>
      <w:r>
        <w:rPr>
          <w:rFonts w:hint="default" w:ascii="Times New Roman" w:hAnsi="Times New Roman" w:eastAsia="仿宋_GB2312" w:cs="Times New Roman"/>
          <w:color w:val="auto"/>
          <w:kern w:val="0"/>
          <w:sz w:val="32"/>
          <w:szCs w:val="32"/>
          <w:lang w:val="en-US" w:eastAsia="zh-CN"/>
        </w:rPr>
        <w:t>；印刷废气经印刷设备密闭机箱内收集</w:t>
      </w:r>
      <w:r>
        <w:rPr>
          <w:rFonts w:hint="eastAsia" w:eastAsia="仿宋_GB2312" w:cs="Times New Roman"/>
          <w:color w:val="auto"/>
          <w:kern w:val="0"/>
          <w:sz w:val="32"/>
          <w:szCs w:val="32"/>
          <w:lang w:val="en-US" w:eastAsia="zh-CN"/>
        </w:rPr>
        <w:t>后与</w:t>
      </w:r>
      <w:r>
        <w:rPr>
          <w:rFonts w:hint="default" w:ascii="Times New Roman" w:hAnsi="Times New Roman" w:eastAsia="仿宋_GB2312" w:cs="Times New Roman"/>
          <w:color w:val="auto"/>
          <w:kern w:val="0"/>
          <w:sz w:val="32"/>
          <w:szCs w:val="32"/>
          <w:lang w:val="en-US" w:eastAsia="zh-CN"/>
        </w:rPr>
        <w:t>调墨废气经调墨间密闭空间收集后合并引入1套二级活性炭吸附装置处理后经1根26m高排气筒排放。其废气中NMHC排放</w:t>
      </w:r>
      <w:r>
        <w:rPr>
          <w:rFonts w:hint="eastAsia" w:eastAsia="仿宋_GB2312" w:cs="Times New Roman"/>
          <w:color w:val="auto"/>
          <w:kern w:val="0"/>
          <w:sz w:val="32"/>
          <w:szCs w:val="32"/>
          <w:lang w:val="en-US" w:eastAsia="zh-CN"/>
        </w:rPr>
        <w:t>须满足</w:t>
      </w:r>
      <w:r>
        <w:rPr>
          <w:rFonts w:hint="default" w:ascii="Times New Roman" w:hAnsi="Times New Roman" w:eastAsia="仿宋_GB2312" w:cs="Times New Roman"/>
          <w:color w:val="auto"/>
          <w:kern w:val="0"/>
          <w:sz w:val="32"/>
          <w:szCs w:val="32"/>
          <w:lang w:val="en-US" w:eastAsia="zh-CN"/>
        </w:rPr>
        <w:t>《固定源挥发性有机物综合排放标准 第4部分：印刷工业》（DB34/4812.4-2024）中排放限值</w:t>
      </w:r>
      <w:r>
        <w:rPr>
          <w:rFonts w:hint="eastAsia" w:eastAsia="仿宋_GB2312" w:cs="Times New Roman"/>
          <w:color w:val="auto"/>
          <w:kern w:val="0"/>
          <w:sz w:val="32"/>
          <w:szCs w:val="32"/>
          <w:lang w:val="en-US" w:eastAsia="zh-CN"/>
        </w:rPr>
        <w:t>要求</w:t>
      </w:r>
      <w:r>
        <w:rPr>
          <w:rFonts w:hint="default" w:ascii="Times New Roman" w:hAnsi="Times New Roman" w:eastAsia="仿宋_GB2312" w:cs="Times New Roman"/>
          <w:color w:val="auto"/>
          <w:kern w:val="0"/>
          <w:sz w:val="32"/>
          <w:szCs w:val="32"/>
          <w:lang w:val="en-US" w:eastAsia="zh-CN"/>
        </w:rPr>
        <w:t>；厂界无组织颗粒物、NMHC排放</w:t>
      </w:r>
      <w:r>
        <w:rPr>
          <w:rFonts w:hint="eastAsia" w:eastAsia="仿宋_GB2312" w:cs="Times New Roman"/>
          <w:color w:val="auto"/>
          <w:kern w:val="0"/>
          <w:sz w:val="32"/>
          <w:szCs w:val="32"/>
          <w:lang w:val="en-US" w:eastAsia="zh-CN"/>
        </w:rPr>
        <w:t>须满足</w:t>
      </w:r>
      <w:r>
        <w:rPr>
          <w:rFonts w:hint="default" w:ascii="Times New Roman" w:hAnsi="Times New Roman" w:eastAsia="仿宋_GB2312" w:cs="Times New Roman"/>
          <w:color w:val="auto"/>
          <w:kern w:val="0"/>
          <w:sz w:val="32"/>
          <w:szCs w:val="32"/>
          <w:lang w:val="en-US" w:eastAsia="zh-CN"/>
        </w:rPr>
        <w:t>《大气污染物综合排放标准》（GB16297-1996）表2中无组织排放监控浓度限值标准；厂区内VOCs无组织排放</w:t>
      </w:r>
      <w:r>
        <w:rPr>
          <w:rFonts w:hint="eastAsia" w:eastAsia="仿宋_GB2312" w:cs="Times New Roman"/>
          <w:color w:val="auto"/>
          <w:kern w:val="0"/>
          <w:sz w:val="32"/>
          <w:szCs w:val="32"/>
          <w:lang w:val="en-US" w:eastAsia="zh-CN"/>
        </w:rPr>
        <w:t>须满足</w:t>
      </w:r>
      <w:r>
        <w:rPr>
          <w:rFonts w:hint="default" w:ascii="Times New Roman" w:hAnsi="Times New Roman" w:eastAsia="仿宋_GB2312" w:cs="Times New Roman"/>
          <w:color w:val="auto"/>
          <w:kern w:val="0"/>
          <w:sz w:val="32"/>
          <w:szCs w:val="32"/>
          <w:lang w:val="en-US" w:eastAsia="zh-CN"/>
        </w:rPr>
        <w:t>《固定源挥发性有机物综合排放标准 第4部分：印刷工业》（DB34/4812.4-2024）表3中限值要求。</w:t>
      </w:r>
    </w:p>
    <w:p w14:paraId="238DAF10">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（二）项目厂区须实行雨污分流。瓦楞板生产线清洗废水、印刷设备清洗废水</w:t>
      </w:r>
      <w:r>
        <w:rPr>
          <w:rFonts w:hint="eastAsia" w:ascii="Times New Roman" w:hAnsi="Times New Roman" w:eastAsia="仿宋_GB2312" w:cs="Times New Roman"/>
          <w:color w:val="auto"/>
          <w:kern w:val="0"/>
          <w:sz w:val="32"/>
          <w:szCs w:val="32"/>
          <w:lang w:val="en-US" w:eastAsia="zh-CN"/>
        </w:rPr>
        <w:t>进入自建40t/d</w:t>
      </w:r>
      <w:r>
        <w:rPr>
          <w:rFonts w:hint="default" w:ascii="Times New Roman" w:hAnsi="Times New Roman" w:eastAsia="仿宋_GB2312" w:cs="Times New Roman"/>
          <w:color w:val="auto"/>
          <w:kern w:val="0"/>
          <w:sz w:val="32"/>
          <w:szCs w:val="32"/>
          <w:lang w:val="en-US" w:eastAsia="zh-CN"/>
        </w:rPr>
        <w:t>污水处理站处理</w:t>
      </w:r>
      <w:r>
        <w:rPr>
          <w:rFonts w:hint="eastAsia" w:ascii="Times New Roman" w:hAnsi="Times New Roman" w:eastAsia="仿宋_GB2312" w:cs="Times New Roman"/>
          <w:color w:val="auto"/>
          <w:kern w:val="0"/>
          <w:sz w:val="32"/>
          <w:szCs w:val="32"/>
          <w:lang w:val="en-US" w:eastAsia="zh-CN"/>
        </w:rPr>
        <w:t>后与经化粪池处理后的生活污水一同接入市政污水管网，进入东部新城污水处理厂集中处理。</w:t>
      </w:r>
    </w:p>
    <w:p w14:paraId="6940BD1D">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GB" w:eastAsia="zh-CN"/>
        </w:rPr>
      </w:pPr>
      <w:r>
        <w:rPr>
          <w:rFonts w:hint="default" w:ascii="Times New Roman" w:hAnsi="Times New Roman" w:eastAsia="仿宋_GB2312" w:cs="Times New Roman"/>
          <w:color w:val="auto"/>
          <w:kern w:val="0"/>
          <w:sz w:val="32"/>
          <w:szCs w:val="32"/>
          <w:lang w:val="en-GB" w:eastAsia="zh-CN"/>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GB" w:eastAsia="zh-CN"/>
        </w:rPr>
        <w:t>）合理布局，选用低噪声设备，采取减振、隔声、封闭等措施，减轻噪声排放，确保厂界噪声满足《工业企业厂界环境噪声排放标准》（GB12348-2008）中相关限值要求。</w:t>
      </w:r>
    </w:p>
    <w:p w14:paraId="589341F5">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（四）加强固体废物分类收集。</w:t>
      </w:r>
      <w:r>
        <w:rPr>
          <w:rFonts w:hint="eastAsia" w:ascii="Times New Roman" w:hAnsi="Times New Roman" w:eastAsia="仿宋_GB2312" w:cs="Times New Roman"/>
          <w:color w:val="auto"/>
          <w:kern w:val="0"/>
          <w:sz w:val="32"/>
          <w:szCs w:val="32"/>
          <w:lang w:val="en-US" w:eastAsia="zh-CN"/>
        </w:rPr>
        <w:t>废包装物</w:t>
      </w:r>
      <w:r>
        <w:rPr>
          <w:rFonts w:hint="default" w:ascii="Times New Roman" w:hAnsi="Times New Roman" w:eastAsia="仿宋_GB2312" w:cs="Times New Roman"/>
          <w:color w:val="auto"/>
          <w:kern w:val="0"/>
          <w:sz w:val="32"/>
          <w:szCs w:val="32"/>
          <w:lang w:val="en-US" w:eastAsia="zh-CN"/>
        </w:rPr>
        <w:t>、废</w:t>
      </w:r>
      <w:r>
        <w:rPr>
          <w:rFonts w:hint="eastAsia" w:ascii="Times New Roman" w:hAnsi="Times New Roman" w:eastAsia="仿宋_GB2312" w:cs="Times New Roman"/>
          <w:color w:val="auto"/>
          <w:kern w:val="0"/>
          <w:sz w:val="32"/>
          <w:szCs w:val="32"/>
          <w:lang w:val="en-US" w:eastAsia="zh-CN"/>
        </w:rPr>
        <w:t>纸</w:t>
      </w:r>
      <w:r>
        <w:rPr>
          <w:rFonts w:hint="default" w:ascii="Times New Roman" w:hAnsi="Times New Roman" w:eastAsia="仿宋_GB2312" w:cs="Times New Roman"/>
          <w:color w:val="auto"/>
          <w:kern w:val="0"/>
          <w:sz w:val="32"/>
          <w:szCs w:val="32"/>
          <w:lang w:val="en-US" w:eastAsia="zh-CN"/>
        </w:rPr>
        <w:t>等一般固体废物处置执行《一般工业固体废物贮存和填埋污染控制标准》GB18599-2020)相关要求；废</w:t>
      </w:r>
      <w:r>
        <w:rPr>
          <w:rFonts w:hint="eastAsia" w:ascii="Times New Roman" w:hAnsi="Times New Roman" w:eastAsia="仿宋_GB2312" w:cs="Times New Roman"/>
          <w:color w:val="auto"/>
          <w:kern w:val="0"/>
          <w:sz w:val="32"/>
          <w:szCs w:val="32"/>
          <w:lang w:val="en-US" w:eastAsia="zh-CN"/>
        </w:rPr>
        <w:t>活性炭</w:t>
      </w:r>
      <w:r>
        <w:rPr>
          <w:rFonts w:hint="default" w:ascii="Times New Roman" w:hAnsi="Times New Roman" w:eastAsia="仿宋_GB2312" w:cs="Times New Roman"/>
          <w:color w:val="auto"/>
          <w:kern w:val="0"/>
          <w:sz w:val="32"/>
          <w:szCs w:val="32"/>
          <w:lang w:val="en-US" w:eastAsia="zh-CN"/>
        </w:rPr>
        <w:t>和废润滑油等危险废物处置执行《危险废物贮存污染控制标准》（GB18597-2023）相关要求。生活垃圾袋装收集后交由环卫部门统一处置。</w:t>
      </w:r>
    </w:p>
    <w:p w14:paraId="68781CA0">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（五）严格落实《报告表》提出的防渗措施。按照主动预防、源头控制、分区防渗要求，对危废库等区域采取重点防渗措施，防止土壤和地下水污染。</w:t>
      </w:r>
    </w:p>
    <w:p w14:paraId="171A13BA">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（六）加强环境风险防范。严格落实《报告表》中提出的风险防范措施、环境管理要求和环境监测计划，编制应急预案，并定期开展应急演练，定期开展监测，及时公开。</w:t>
      </w:r>
    </w:p>
    <w:p w14:paraId="0F7EFD2C">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（七）做好与排污许可证申领的衔接，按照排污许可技术规范要求，完成排污许可证申报登记工作。</w:t>
      </w:r>
    </w:p>
    <w:p w14:paraId="5D17872B">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（八）项目总量指标为 VOCs:0.596t/a，项目运营后排放的总量不得超过市生态环境局核定的总量。</w:t>
      </w:r>
    </w:p>
    <w:p w14:paraId="73F2EE05">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四、项目建设应严格执行环境保护“三同时”制度，建成后应按相关规定自主进行竣工环境保护验收，验收合格后方可正式投入生产。</w:t>
      </w:r>
    </w:p>
    <w:p w14:paraId="3D09954E">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五、若建设项目的规模、地点、工艺或者污染防治措施发生重大变化，你单位应依法重新履行相关审批手续。 </w:t>
      </w:r>
    </w:p>
    <w:p w14:paraId="7DCD79F0">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六、金安经济开发区生态环境工作站负责对该项目建设期、运营期的环境监督管理工作。</w:t>
      </w:r>
    </w:p>
    <w:p w14:paraId="2F5788A5">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56AF85CC">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6DBFB791">
      <w:pPr>
        <w:keepNext w:val="0"/>
        <w:keepLines w:val="0"/>
        <w:pageBreakBefore w:val="0"/>
        <w:widowControl/>
        <w:kinsoku/>
        <w:wordWrap w:val="0"/>
        <w:overflowPunct/>
        <w:topLinePunct w:val="0"/>
        <w:bidi w:val="0"/>
        <w:snapToGrid/>
        <w:spacing w:line="520" w:lineRule="exact"/>
        <w:ind w:firstLine="4800" w:firstLineChars="15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六安市金安区生态环境分局</w:t>
      </w:r>
    </w:p>
    <w:p w14:paraId="6FDECE62">
      <w:pPr>
        <w:keepNext w:val="0"/>
        <w:keepLines w:val="0"/>
        <w:pageBreakBefore w:val="0"/>
        <w:widowControl/>
        <w:kinsoku/>
        <w:wordWrap w:val="0"/>
        <w:overflowPunct/>
        <w:topLinePunct w:val="0"/>
        <w:bidi w:val="0"/>
        <w:snapToGrid/>
        <w:spacing w:line="520" w:lineRule="exact"/>
        <w:ind w:firstLine="5760" w:firstLineChars="18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2025年</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月1</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日</w:t>
      </w:r>
    </w:p>
    <w:p w14:paraId="55676946">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36ABBEB3">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w:t>
      </w:r>
      <w:bookmarkStart w:id="0" w:name="OLE_LINK1"/>
      <w:r>
        <w:rPr>
          <w:rFonts w:hint="eastAsia" w:ascii="仿宋_GB2312" w:hAnsi="仿宋_GB2312" w:eastAsia="仿宋_GB2312" w:cs="仿宋_GB2312"/>
          <w:color w:val="000000"/>
          <w:sz w:val="32"/>
          <w:szCs w:val="32"/>
          <w:lang w:val="en-US" w:eastAsia="zh-CN"/>
        </w:rPr>
        <w:t>金安经济开发区管委</w:t>
      </w:r>
      <w:r>
        <w:rPr>
          <w:rFonts w:hint="eastAsia" w:ascii="仿宋_GB2312" w:hAnsi="仿宋_GB2312" w:eastAsia="仿宋_GB2312" w:cs="仿宋_GB2312"/>
          <w:color w:val="000000"/>
          <w:sz w:val="32"/>
          <w:szCs w:val="32"/>
        </w:rPr>
        <w:t>，六安市生态环境保护综合行政执法支队金安区大队，</w:t>
      </w:r>
      <w:r>
        <w:rPr>
          <w:rFonts w:hint="eastAsia" w:ascii="仿宋_GB2312" w:hAnsi="仿宋_GB2312" w:eastAsia="仿宋_GB2312" w:cs="仿宋_GB2312"/>
          <w:color w:val="000000"/>
          <w:sz w:val="32"/>
          <w:szCs w:val="32"/>
          <w:lang w:val="en-US" w:eastAsia="zh-CN"/>
        </w:rPr>
        <w:t>金安经济开发区生态环境工作站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安徽钧盛环境科技</w:t>
      </w:r>
      <w:r>
        <w:rPr>
          <w:rFonts w:hint="eastAsia" w:ascii="仿宋_GB2312" w:hAnsi="仿宋_GB2312" w:eastAsia="仿宋_GB2312" w:cs="仿宋_GB2312"/>
          <w:color w:val="000000"/>
          <w:sz w:val="32"/>
          <w:szCs w:val="32"/>
        </w:rPr>
        <w:t>有限公司</w:t>
      </w:r>
      <w:bookmarkEnd w:id="0"/>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3B68">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C29578">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12C29578">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7990">
    <w:pPr>
      <w:pStyle w:val="13"/>
      <w:framePr w:wrap="around" w:vAnchor="text" w:hAnchor="margin" w:xAlign="center" w:y="1"/>
      <w:rPr>
        <w:rStyle w:val="24"/>
      </w:rPr>
    </w:pPr>
    <w:r>
      <w:fldChar w:fldCharType="begin"/>
    </w:r>
    <w:r>
      <w:rPr>
        <w:rStyle w:val="24"/>
      </w:rPr>
      <w:instrText xml:space="preserve">PAGE  </w:instrText>
    </w:r>
    <w:r>
      <w:fldChar w:fldCharType="end"/>
    </w:r>
  </w:p>
  <w:p w14:paraId="277E93A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4A90">
    <w:pPr>
      <w:pStyle w:val="13"/>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C1DDA">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51FC1DDA">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6"/>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9B611E"/>
    <w:rsid w:val="04681279"/>
    <w:rsid w:val="048541FF"/>
    <w:rsid w:val="050622F0"/>
    <w:rsid w:val="05500BD9"/>
    <w:rsid w:val="06E81157"/>
    <w:rsid w:val="06ED11EE"/>
    <w:rsid w:val="074E7170"/>
    <w:rsid w:val="0761763D"/>
    <w:rsid w:val="07B95C94"/>
    <w:rsid w:val="08435AC4"/>
    <w:rsid w:val="08AC2521"/>
    <w:rsid w:val="08C77960"/>
    <w:rsid w:val="091F62B9"/>
    <w:rsid w:val="09551522"/>
    <w:rsid w:val="09E468BD"/>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0EA3DF0"/>
    <w:rsid w:val="12544664"/>
    <w:rsid w:val="12C865C8"/>
    <w:rsid w:val="13334BF0"/>
    <w:rsid w:val="137A246C"/>
    <w:rsid w:val="161C4BA6"/>
    <w:rsid w:val="16480C82"/>
    <w:rsid w:val="16F156FA"/>
    <w:rsid w:val="16F62510"/>
    <w:rsid w:val="17A20290"/>
    <w:rsid w:val="17D4705A"/>
    <w:rsid w:val="17DF5A23"/>
    <w:rsid w:val="18090001"/>
    <w:rsid w:val="188241BE"/>
    <w:rsid w:val="18DA72FB"/>
    <w:rsid w:val="18DC7461"/>
    <w:rsid w:val="18E0618B"/>
    <w:rsid w:val="1A367855"/>
    <w:rsid w:val="1A3E4302"/>
    <w:rsid w:val="1A7127CE"/>
    <w:rsid w:val="1AE35208"/>
    <w:rsid w:val="1B133624"/>
    <w:rsid w:val="1BC665A4"/>
    <w:rsid w:val="1C37165D"/>
    <w:rsid w:val="1CF67320"/>
    <w:rsid w:val="1D594123"/>
    <w:rsid w:val="1E5713D5"/>
    <w:rsid w:val="1E647DFC"/>
    <w:rsid w:val="1E690E1B"/>
    <w:rsid w:val="1E9F5D30"/>
    <w:rsid w:val="20A115A4"/>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F677A6"/>
    <w:rsid w:val="31C94901"/>
    <w:rsid w:val="31E040C5"/>
    <w:rsid w:val="3203745C"/>
    <w:rsid w:val="322761F0"/>
    <w:rsid w:val="32534E66"/>
    <w:rsid w:val="32966A4D"/>
    <w:rsid w:val="32CA57E9"/>
    <w:rsid w:val="33276E2A"/>
    <w:rsid w:val="334E3DD8"/>
    <w:rsid w:val="3358529B"/>
    <w:rsid w:val="335E7F22"/>
    <w:rsid w:val="33DE475C"/>
    <w:rsid w:val="347F0547"/>
    <w:rsid w:val="348B4844"/>
    <w:rsid w:val="356C6DE6"/>
    <w:rsid w:val="36120A46"/>
    <w:rsid w:val="36FC2ECF"/>
    <w:rsid w:val="37C51570"/>
    <w:rsid w:val="37DF3A79"/>
    <w:rsid w:val="39C12B5F"/>
    <w:rsid w:val="3B88423E"/>
    <w:rsid w:val="3BDF606C"/>
    <w:rsid w:val="3BFC4B23"/>
    <w:rsid w:val="3CAD43A2"/>
    <w:rsid w:val="3CE11384"/>
    <w:rsid w:val="3D1231E2"/>
    <w:rsid w:val="3D1A61A8"/>
    <w:rsid w:val="3D6F0EF6"/>
    <w:rsid w:val="3EAA3EDF"/>
    <w:rsid w:val="3FC36883"/>
    <w:rsid w:val="40123579"/>
    <w:rsid w:val="40C61D12"/>
    <w:rsid w:val="40EB24C0"/>
    <w:rsid w:val="411E1638"/>
    <w:rsid w:val="41326E0A"/>
    <w:rsid w:val="414A48C7"/>
    <w:rsid w:val="43844123"/>
    <w:rsid w:val="43A31CF7"/>
    <w:rsid w:val="441874ED"/>
    <w:rsid w:val="44560803"/>
    <w:rsid w:val="446F1DEF"/>
    <w:rsid w:val="44DA702B"/>
    <w:rsid w:val="44E93ED8"/>
    <w:rsid w:val="47042977"/>
    <w:rsid w:val="471A6804"/>
    <w:rsid w:val="47B525D7"/>
    <w:rsid w:val="47C56B6B"/>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B66194"/>
    <w:rsid w:val="52FF5888"/>
    <w:rsid w:val="535B6B1F"/>
    <w:rsid w:val="536D30D2"/>
    <w:rsid w:val="538E4A94"/>
    <w:rsid w:val="53C86CA6"/>
    <w:rsid w:val="53D864B4"/>
    <w:rsid w:val="55016716"/>
    <w:rsid w:val="551838E3"/>
    <w:rsid w:val="556866F6"/>
    <w:rsid w:val="57A764D5"/>
    <w:rsid w:val="58267074"/>
    <w:rsid w:val="583A23D4"/>
    <w:rsid w:val="599115F6"/>
    <w:rsid w:val="59B37F60"/>
    <w:rsid w:val="59C12A94"/>
    <w:rsid w:val="5A112508"/>
    <w:rsid w:val="5A2967B8"/>
    <w:rsid w:val="5A3711F6"/>
    <w:rsid w:val="5A4249D8"/>
    <w:rsid w:val="5A6A63DA"/>
    <w:rsid w:val="5A86654F"/>
    <w:rsid w:val="5A8A6CE1"/>
    <w:rsid w:val="5AA70426"/>
    <w:rsid w:val="5B0B4201"/>
    <w:rsid w:val="5B60526F"/>
    <w:rsid w:val="5B6F2E52"/>
    <w:rsid w:val="5C063C5C"/>
    <w:rsid w:val="5C45703E"/>
    <w:rsid w:val="5D392DC1"/>
    <w:rsid w:val="5F3013C0"/>
    <w:rsid w:val="5F926033"/>
    <w:rsid w:val="5FB73BEF"/>
    <w:rsid w:val="604C78B6"/>
    <w:rsid w:val="60F975CE"/>
    <w:rsid w:val="613554FC"/>
    <w:rsid w:val="616D04BB"/>
    <w:rsid w:val="637508FC"/>
    <w:rsid w:val="63844BD8"/>
    <w:rsid w:val="63FD01CA"/>
    <w:rsid w:val="64D26214"/>
    <w:rsid w:val="655C2101"/>
    <w:rsid w:val="660F6EF4"/>
    <w:rsid w:val="66A07C48"/>
    <w:rsid w:val="66FD73C2"/>
    <w:rsid w:val="67AC02D6"/>
    <w:rsid w:val="67D36B5E"/>
    <w:rsid w:val="67F90CE1"/>
    <w:rsid w:val="682E7885"/>
    <w:rsid w:val="686646E0"/>
    <w:rsid w:val="69B407D0"/>
    <w:rsid w:val="6B024205"/>
    <w:rsid w:val="6C0E513D"/>
    <w:rsid w:val="6CBA3870"/>
    <w:rsid w:val="6CC856FE"/>
    <w:rsid w:val="6D4259B8"/>
    <w:rsid w:val="6DB729D0"/>
    <w:rsid w:val="6EEA70F3"/>
    <w:rsid w:val="6F8D3143"/>
    <w:rsid w:val="6FA37C38"/>
    <w:rsid w:val="6FDA6104"/>
    <w:rsid w:val="70435C6B"/>
    <w:rsid w:val="706E5B73"/>
    <w:rsid w:val="726E11B1"/>
    <w:rsid w:val="72904BF5"/>
    <w:rsid w:val="72DE5130"/>
    <w:rsid w:val="733028FA"/>
    <w:rsid w:val="736E02F6"/>
    <w:rsid w:val="74414DA0"/>
    <w:rsid w:val="748B171D"/>
    <w:rsid w:val="74981B60"/>
    <w:rsid w:val="74CE0DE0"/>
    <w:rsid w:val="74EA0572"/>
    <w:rsid w:val="759F0541"/>
    <w:rsid w:val="75B668A4"/>
    <w:rsid w:val="761913AD"/>
    <w:rsid w:val="763E6E84"/>
    <w:rsid w:val="770603A5"/>
    <w:rsid w:val="77504732"/>
    <w:rsid w:val="775C4726"/>
    <w:rsid w:val="77DF256D"/>
    <w:rsid w:val="78727F08"/>
    <w:rsid w:val="79643CDC"/>
    <w:rsid w:val="7A2B0A99"/>
    <w:rsid w:val="7A7B6646"/>
    <w:rsid w:val="7A8259A5"/>
    <w:rsid w:val="7A99117F"/>
    <w:rsid w:val="7ACB5ED9"/>
    <w:rsid w:val="7BB71A00"/>
    <w:rsid w:val="7BD74612"/>
    <w:rsid w:val="7C515CA6"/>
    <w:rsid w:val="7CA7655F"/>
    <w:rsid w:val="7CEA2B6D"/>
    <w:rsid w:val="7D272CE3"/>
    <w:rsid w:val="7DBB697A"/>
    <w:rsid w:val="7E031A44"/>
    <w:rsid w:val="7E44065E"/>
    <w:rsid w:val="7E456802"/>
    <w:rsid w:val="7EDE1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6">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7">
    <w:name w:val="heading 3"/>
    <w:basedOn w:val="1"/>
    <w:next w:val="1"/>
    <w:qFormat/>
    <w:uiPriority w:val="0"/>
    <w:pPr>
      <w:jc w:val="left"/>
      <w:outlineLvl w:val="2"/>
    </w:pPr>
    <w:rPr>
      <w:sz w:val="24"/>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ascii="Calibri" w:hAnsi="Calibri"/>
      <w:sz w:val="21"/>
      <w:szCs w:val="22"/>
    </w:rPr>
  </w:style>
  <w:style w:type="paragraph" w:styleId="3">
    <w:name w:val="Body Text Indent"/>
    <w:basedOn w:val="1"/>
    <w:next w:val="4"/>
    <w:qFormat/>
    <w:uiPriority w:val="0"/>
    <w:pPr>
      <w:autoSpaceDE w:val="0"/>
      <w:autoSpaceDN w:val="0"/>
      <w:adjustRightInd w:val="0"/>
      <w:spacing w:line="360" w:lineRule="auto"/>
      <w:ind w:firstLine="480" w:firstLineChars="200"/>
    </w:pPr>
    <w:rPr>
      <w:rFonts w:ascii="宋体" w:hAnsi="宋体"/>
      <w:kern w:val="0"/>
      <w:sz w:val="24"/>
      <w:szCs w:val="21"/>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9">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w:basedOn w:val="1"/>
    <w:next w:val="9"/>
    <w:qFormat/>
    <w:uiPriority w:val="0"/>
    <w:pPr>
      <w:spacing w:after="120"/>
    </w:pPr>
  </w:style>
  <w:style w:type="paragraph" w:styleId="11">
    <w:name w:val="Body Text Indent 2"/>
    <w:basedOn w:val="1"/>
    <w:next w:val="2"/>
    <w:qFormat/>
    <w:uiPriority w:val="0"/>
    <w:pPr>
      <w:spacing w:line="500" w:lineRule="exact"/>
      <w:ind w:firstLine="573"/>
    </w:pPr>
    <w:rPr>
      <w:sz w:val="28"/>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heading"/>
    <w:basedOn w:val="1"/>
    <w:next w:val="16"/>
    <w:qFormat/>
    <w:uiPriority w:val="0"/>
    <w:rPr>
      <w:szCs w:val="20"/>
    </w:rPr>
  </w:style>
  <w:style w:type="paragraph" w:styleId="16">
    <w:name w:val="index 1"/>
    <w:basedOn w:val="1"/>
    <w:next w:val="1"/>
    <w:qFormat/>
    <w:uiPriority w:val="0"/>
    <w:pPr>
      <w:jc w:val="center"/>
    </w:pPr>
    <w:rPr>
      <w:szCs w:val="20"/>
    </w:rPr>
  </w:style>
  <w:style w:type="paragraph" w:styleId="17">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8">
    <w:name w:val="Body Text 2"/>
    <w:basedOn w:val="1"/>
    <w:qFormat/>
    <w:uiPriority w:val="0"/>
    <w:pPr>
      <w:spacing w:after="120" w:line="480" w:lineRule="auto"/>
    </w:pPr>
  </w:style>
  <w:style w:type="paragraph" w:styleId="19">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1">
    <w:name w:val="Table Grid"/>
    <w:basedOn w:val="2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uiPriority w:val="0"/>
    <w:rPr>
      <w:b/>
      <w:bCs/>
    </w:rPr>
  </w:style>
  <w:style w:type="character" w:styleId="24">
    <w:name w:val="page number"/>
    <w:qFormat/>
    <w:uiPriority w:val="0"/>
  </w:style>
  <w:style w:type="character" w:styleId="25">
    <w:name w:val="FollowedHyperlink"/>
    <w:qFormat/>
    <w:uiPriority w:val="0"/>
    <w:rPr>
      <w:rFonts w:hint="eastAsia" w:ascii="微软雅黑" w:hAnsi="微软雅黑" w:eastAsia="微软雅黑" w:cs="微软雅黑"/>
      <w:color w:val="333333"/>
      <w:u w:val="none"/>
    </w:rPr>
  </w:style>
  <w:style w:type="character" w:styleId="26">
    <w:name w:val="Emphasis"/>
    <w:qFormat/>
    <w:uiPriority w:val="0"/>
  </w:style>
  <w:style w:type="character" w:styleId="27">
    <w:name w:val="HTML Definition"/>
    <w:qFormat/>
    <w:uiPriority w:val="0"/>
  </w:style>
  <w:style w:type="character" w:styleId="28">
    <w:name w:val="HTML Variable"/>
    <w:qFormat/>
    <w:uiPriority w:val="0"/>
  </w:style>
  <w:style w:type="character" w:styleId="29">
    <w:name w:val="Hyperlink"/>
    <w:qFormat/>
    <w:uiPriority w:val="0"/>
    <w:rPr>
      <w:rFonts w:ascii="微软雅黑" w:hAnsi="微软雅黑" w:eastAsia="微软雅黑" w:cs="微软雅黑"/>
      <w:color w:val="333333"/>
      <w:u w:val="none"/>
    </w:rPr>
  </w:style>
  <w:style w:type="character" w:styleId="30">
    <w:name w:val="HTML Code"/>
    <w:qFormat/>
    <w:uiPriority w:val="0"/>
    <w:rPr>
      <w:rFonts w:hint="default" w:ascii="Consolas" w:hAnsi="Consolas" w:eastAsia="Consolas" w:cs="Consolas"/>
      <w:color w:val="C7254E"/>
      <w:sz w:val="21"/>
      <w:szCs w:val="21"/>
      <w:shd w:val="clear" w:color="auto" w:fill="F9F2F4"/>
    </w:rPr>
  </w:style>
  <w:style w:type="character" w:styleId="31">
    <w:name w:val="annotation reference"/>
    <w:semiHidden/>
    <w:qFormat/>
    <w:uiPriority w:val="0"/>
    <w:rPr>
      <w:sz w:val="21"/>
      <w:szCs w:val="21"/>
    </w:rPr>
  </w:style>
  <w:style w:type="character" w:styleId="32">
    <w:name w:val="HTML Cite"/>
    <w:qFormat/>
    <w:uiPriority w:val="0"/>
  </w:style>
  <w:style w:type="character" w:styleId="33">
    <w:name w:val="HTML Keyboard"/>
    <w:qFormat/>
    <w:uiPriority w:val="0"/>
    <w:rPr>
      <w:rFonts w:hint="default" w:ascii="Consolas" w:hAnsi="Consolas" w:eastAsia="Consolas" w:cs="Consolas"/>
      <w:color w:val="FFFFFF"/>
      <w:sz w:val="21"/>
      <w:szCs w:val="21"/>
      <w:shd w:val="clear" w:color="auto" w:fill="333333"/>
    </w:rPr>
  </w:style>
  <w:style w:type="character" w:styleId="34">
    <w:name w:val="HTML Sample"/>
    <w:qFormat/>
    <w:uiPriority w:val="0"/>
    <w:rPr>
      <w:rFonts w:ascii="Consolas" w:hAnsi="Consolas" w:eastAsia="Consolas" w:cs="Consolas"/>
      <w:sz w:val="21"/>
      <w:szCs w:val="21"/>
    </w:rPr>
  </w:style>
  <w:style w:type="paragraph" w:customStyle="1" w:styleId="35">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6">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7">
    <w:name w:val="_Style 4"/>
    <w:basedOn w:val="1"/>
    <w:qFormat/>
    <w:uiPriority w:val="0"/>
    <w:rPr>
      <w:szCs w:val="20"/>
    </w:rPr>
  </w:style>
  <w:style w:type="paragraph" w:customStyle="1" w:styleId="38">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表内容"/>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44">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5">
    <w:name w:val="样式35"/>
    <w:basedOn w:val="1"/>
    <w:qFormat/>
    <w:uiPriority w:val="0"/>
    <w:pPr>
      <w:adjustRightInd w:val="0"/>
      <w:spacing w:line="312" w:lineRule="auto"/>
      <w:ind w:firstLine="567"/>
    </w:pPr>
    <w:rPr>
      <w:rFonts w:ascii="宋体"/>
      <w:kern w:val="0"/>
      <w:sz w:val="28"/>
      <w:szCs w:val="20"/>
    </w:rPr>
  </w:style>
  <w:style w:type="paragraph" w:customStyle="1" w:styleId="46">
    <w:name w:val=" Char Char Char"/>
    <w:basedOn w:val="1"/>
    <w:qFormat/>
    <w:uiPriority w:val="0"/>
    <w:rPr>
      <w:sz w:val="24"/>
    </w:rPr>
  </w:style>
  <w:style w:type="paragraph" w:customStyle="1" w:styleId="47">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8">
    <w:name w:val="hover2"/>
    <w:qFormat/>
    <w:uiPriority w:val="0"/>
    <w:rPr>
      <w:sz w:val="21"/>
      <w:szCs w:val="21"/>
    </w:rPr>
  </w:style>
  <w:style w:type="character" w:customStyle="1" w:styleId="49">
    <w:name w:val="font21"/>
    <w:qFormat/>
    <w:uiPriority w:val="0"/>
    <w:rPr>
      <w:rFonts w:hint="eastAsia" w:ascii="宋体" w:hAnsi="宋体" w:eastAsia="宋体" w:cs="宋体"/>
      <w:color w:val="FF0000"/>
      <w:sz w:val="21"/>
      <w:szCs w:val="21"/>
      <w:u w:val="none"/>
    </w:rPr>
  </w:style>
  <w:style w:type="character" w:customStyle="1" w:styleId="50">
    <w:name w:val="layui-layer-tabnow"/>
    <w:qFormat/>
    <w:uiPriority w:val="0"/>
    <w:rPr>
      <w:bdr w:val="single" w:color="CCCCCC" w:sz="6" w:space="0"/>
      <w:shd w:val="clear" w:color="auto" w:fill="FFFFFF"/>
    </w:rPr>
  </w:style>
  <w:style w:type="character" w:customStyle="1" w:styleId="51">
    <w:name w:val="hover"/>
    <w:qFormat/>
    <w:uiPriority w:val="0"/>
  </w:style>
  <w:style w:type="character" w:customStyle="1" w:styleId="52">
    <w:name w:val="fontstyle1"/>
    <w:qFormat/>
    <w:uiPriority w:val="0"/>
    <w:rPr>
      <w:sz w:val="21"/>
      <w:szCs w:val="21"/>
    </w:rPr>
  </w:style>
  <w:style w:type="character" w:customStyle="1" w:styleId="53">
    <w:name w:val="hover1"/>
    <w:qFormat/>
    <w:uiPriority w:val="0"/>
    <w:rPr>
      <w:shd w:val="clear" w:color="auto" w:fill="F3F3F3"/>
    </w:rPr>
  </w:style>
  <w:style w:type="character" w:customStyle="1" w:styleId="54">
    <w:name w:val="change-bigic"/>
    <w:qFormat/>
    <w:uiPriority w:val="0"/>
    <w:rPr>
      <w:vanish/>
    </w:rPr>
  </w:style>
  <w:style w:type="character" w:customStyle="1" w:styleId="55">
    <w:name w:val="hover3"/>
    <w:qFormat/>
    <w:uiPriority w:val="0"/>
    <w:rPr>
      <w:shd w:val="clear" w:color="auto" w:fill="F3F3F3"/>
    </w:rPr>
  </w:style>
  <w:style w:type="character" w:customStyle="1" w:styleId="56">
    <w:name w:val="max-bigic"/>
    <w:qFormat/>
    <w:uiPriority w:val="0"/>
    <w:rPr>
      <w:vanish/>
    </w:rPr>
  </w:style>
  <w:style w:type="character" w:customStyle="1" w:styleId="57">
    <w:name w:val="first-child"/>
    <w:qFormat/>
    <w:uiPriority w:val="0"/>
  </w:style>
  <w:style w:type="character" w:customStyle="1" w:styleId="58">
    <w:name w:val="close-bigi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1963</Words>
  <Characters>2142</Characters>
  <Lines>7</Lines>
  <Paragraphs>2</Paragraphs>
  <TotalTime>3</TotalTime>
  <ScaleCrop>false</ScaleCrop>
  <LinksUpToDate>false</LinksUpToDate>
  <CharactersWithSpaces>2272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2025-01-17T08:02:00Z</cp:lastPrinted>
  <dcterms:modified xsi:type="dcterms:W3CDTF">2025-04-18T07:34:23Z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766A6A5C85EB40EE9FBE489351987304_13</vt:lpwstr>
  </property>
  <property fmtid="{D5CDD505-2E9C-101B-9397-08002B2CF9AE}" pid="4" name="KSOTemplateDocerSaveRecord">
    <vt:lpwstr>eyJoZGlkIjoiZWRjYmUxNjEwZGRkYmM5OTA5MzZjYzY0NWMzNThlYmEiLCJ1c2VySWQiOiI1NjIzOTE0NjYifQ==</vt:lpwstr>
  </property>
</Properties>
</file>