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EA21C">
      <w:pPr>
        <w:spacing w:line="560" w:lineRule="exact"/>
        <w:jc w:val="left"/>
        <w:rPr>
          <w:rFonts w:hint="eastAsia"/>
        </w:rPr>
      </w:pPr>
    </w:p>
    <w:p w14:paraId="028FBA22">
      <w:pPr>
        <w:spacing w:line="560" w:lineRule="exact"/>
        <w:jc w:val="left"/>
        <w:rPr>
          <w:rFonts w:hint="eastAsia"/>
        </w:rPr>
      </w:pPr>
    </w:p>
    <w:p w14:paraId="031C47C3">
      <w:pPr>
        <w:spacing w:line="560" w:lineRule="exact"/>
        <w:jc w:val="left"/>
        <w:rPr>
          <w:rFonts w:hint="eastAsia"/>
        </w:rPr>
      </w:pPr>
    </w:p>
    <w:p w14:paraId="0AF9BF91">
      <w:pPr>
        <w:spacing w:line="560" w:lineRule="exact"/>
        <w:jc w:val="center"/>
        <w:rPr>
          <w:rFonts w:hint="eastAsia" w:ascii="仿宋_GB2312" w:hAnsi="仿宋_GB2312" w:eastAsia="仿宋_GB2312" w:cs="仿宋_GB2312"/>
          <w:sz w:val="32"/>
          <w:szCs w:val="32"/>
        </w:rPr>
      </w:pPr>
    </w:p>
    <w:p w14:paraId="1C1F1C00">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号</w:t>
      </w:r>
    </w:p>
    <w:p w14:paraId="55B26CF0">
      <w:pPr>
        <w:spacing w:line="560" w:lineRule="exact"/>
        <w:rPr>
          <w:rFonts w:hint="eastAsia" w:ascii="仿宋_GB2312" w:eastAsia="仿宋_GB2312"/>
          <w:sz w:val="32"/>
          <w:szCs w:val="32"/>
        </w:rPr>
      </w:pPr>
      <w:r>
        <w:rPr>
          <w:rFonts w:hint="eastAsia"/>
        </w:rPr>
        <w:t xml:space="preserve">                                                                                                                              </w:t>
      </w:r>
    </w:p>
    <w:p w14:paraId="763372F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关于年产40万平方米钢化、10万平方米夹膜、10万平方米中空玻璃建设项目环境影响</w:t>
      </w:r>
    </w:p>
    <w:p w14:paraId="66E8B7E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报告表的批复</w:t>
      </w:r>
    </w:p>
    <w:p w14:paraId="75FD6EA4">
      <w:pPr>
        <w:pStyle w:val="10"/>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62B642C8">
      <w:pPr>
        <w:keepNext w:val="0"/>
        <w:keepLines w:val="0"/>
        <w:pageBreakBefore w:val="0"/>
        <w:widowControl/>
        <w:kinsoku/>
        <w:wordWrap w:val="0"/>
        <w:overflowPunct/>
        <w:topLinePunct w:val="0"/>
        <w:bidi w:val="0"/>
        <w:snapToGrid/>
        <w:spacing w:line="52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安徽广鑫新材料科技有限公司</w:t>
      </w:r>
      <w:r>
        <w:rPr>
          <w:rFonts w:hint="default" w:ascii="Times New Roman" w:hAnsi="Times New Roman" w:eastAsia="仿宋_GB2312" w:cs="Times New Roman"/>
          <w:color w:val="auto"/>
          <w:kern w:val="0"/>
          <w:sz w:val="32"/>
          <w:szCs w:val="32"/>
        </w:rPr>
        <w:t>：</w:t>
      </w:r>
    </w:p>
    <w:p w14:paraId="78E22718">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你单位报来《年产40万平方米钢化、10万平方米夹膜、10万平方米中空玻璃建设项目环境影响报告表》（以下简称《报告表》）及有关材料收悉。</w:t>
      </w:r>
      <w:r>
        <w:rPr>
          <w:rFonts w:hint="default" w:ascii="Times New Roman" w:hAnsi="Times New Roman" w:eastAsia="仿宋_GB2312" w:cs="Times New Roman"/>
          <w:color w:val="auto"/>
          <w:kern w:val="0"/>
          <w:sz w:val="32"/>
          <w:szCs w:val="32"/>
          <w:lang w:val="en-US" w:eastAsia="zh-CN"/>
        </w:rPr>
        <w:t>该项目位于安徽省六安市金安区三十铺镇新安大道与山源路交口西南角银峰智能产业园20栋</w:t>
      </w:r>
      <w:r>
        <w:rPr>
          <w:rFonts w:hint="eastAsia" w:eastAsia="仿宋_GB2312" w:cs="Times New Roman"/>
          <w:color w:val="auto"/>
          <w:kern w:val="0"/>
          <w:sz w:val="32"/>
          <w:szCs w:val="32"/>
          <w:lang w:val="en-US" w:eastAsia="zh-CN"/>
        </w:rPr>
        <w:t>，总投资5000万元，主要建设3条生产制造钢化、夹胶、中空玻璃生产线等相关配套设施。</w:t>
      </w:r>
      <w:r>
        <w:rPr>
          <w:rFonts w:hint="default" w:ascii="Times New Roman" w:hAnsi="Times New Roman" w:eastAsia="仿宋_GB2312" w:cs="Times New Roman"/>
          <w:color w:val="auto"/>
          <w:kern w:val="0"/>
          <w:sz w:val="32"/>
          <w:szCs w:val="32"/>
          <w:lang w:val="en-US" w:eastAsia="zh-CN"/>
        </w:rPr>
        <w:t>项目建成后可实现年产 40万平方米钢化、10万平方米夹膜、10万平方米中空玻璃的生产能力。该项目已经六安金安经济开发区</w:t>
      </w:r>
      <w:r>
        <w:rPr>
          <w:rFonts w:hint="eastAsia" w:eastAsia="仿宋_GB2312" w:cs="Times New Roman"/>
          <w:color w:val="auto"/>
          <w:kern w:val="0"/>
          <w:sz w:val="32"/>
          <w:szCs w:val="32"/>
          <w:lang w:val="en-US" w:eastAsia="zh-CN"/>
        </w:rPr>
        <w:t>行政审批</w:t>
      </w:r>
      <w:r>
        <w:rPr>
          <w:rFonts w:hint="default" w:ascii="Times New Roman" w:hAnsi="Times New Roman" w:eastAsia="仿宋_GB2312" w:cs="Times New Roman"/>
          <w:color w:val="auto"/>
          <w:kern w:val="0"/>
          <w:sz w:val="32"/>
          <w:szCs w:val="32"/>
          <w:lang w:val="en-US" w:eastAsia="zh-CN"/>
        </w:rPr>
        <w:t>局备案，项目代码为：（24</w:t>
      </w:r>
      <w:r>
        <w:rPr>
          <w:rFonts w:hint="eastAsia" w:eastAsia="仿宋_GB2312" w:cs="Times New Roman"/>
          <w:color w:val="auto"/>
          <w:kern w:val="0"/>
          <w:sz w:val="32"/>
          <w:szCs w:val="32"/>
          <w:lang w:val="en-US" w:eastAsia="zh-CN"/>
        </w:rPr>
        <w:t>04</w:t>
      </w:r>
      <w:r>
        <w:rPr>
          <w:rFonts w:hint="default" w:ascii="Times New Roman" w:hAnsi="Times New Roman" w:eastAsia="仿宋_GB2312" w:cs="Times New Roman"/>
          <w:color w:val="auto"/>
          <w:kern w:val="0"/>
          <w:sz w:val="32"/>
          <w:szCs w:val="32"/>
          <w:lang w:val="en-US" w:eastAsia="zh-CN"/>
        </w:rPr>
        <w:t>-341574-04-01-</w:t>
      </w:r>
      <w:r>
        <w:rPr>
          <w:rFonts w:hint="eastAsia" w:eastAsia="仿宋_GB2312" w:cs="Times New Roman"/>
          <w:color w:val="auto"/>
          <w:kern w:val="0"/>
          <w:sz w:val="32"/>
          <w:szCs w:val="32"/>
          <w:lang w:val="en-US" w:eastAsia="zh-CN"/>
        </w:rPr>
        <w:t>374789</w:t>
      </w:r>
      <w:r>
        <w:rPr>
          <w:rFonts w:hint="default" w:ascii="Times New Roman" w:hAnsi="Times New Roman" w:eastAsia="仿宋_GB2312" w:cs="Times New Roman"/>
          <w:color w:val="auto"/>
          <w:kern w:val="0"/>
          <w:sz w:val="32"/>
          <w:szCs w:val="32"/>
          <w:lang w:val="en-US" w:eastAsia="zh-CN"/>
        </w:rPr>
        <w:t>），根据《中华人民共和国环境影响评价法》等有关法律规定和专家评审意见，现批复如下：</w:t>
      </w:r>
    </w:p>
    <w:p w14:paraId="5A4AA19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03958366">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val="en-US" w:eastAsia="zh-CN"/>
        </w:rPr>
        <w:t>、项目投产后,要认真落实《报告表》中提出的各项环境保护措施，并切实做好以下工作：</w:t>
      </w:r>
    </w:p>
    <w:p w14:paraId="2185788D">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理方案。项目夹胶玻璃 PVB 胶片加热加压工序、中空玻璃涂胶、封胶过程产生的有机废气</w:t>
      </w:r>
      <w:r>
        <w:rPr>
          <w:rFonts w:hint="eastAsia" w:eastAsia="仿宋_GB2312" w:cs="Times New Roman"/>
          <w:color w:val="auto"/>
          <w:kern w:val="0"/>
          <w:sz w:val="32"/>
          <w:szCs w:val="32"/>
          <w:lang w:val="en-US" w:eastAsia="zh-CN"/>
        </w:rPr>
        <w:t>经集气罩/管道</w:t>
      </w:r>
      <w:r>
        <w:rPr>
          <w:rFonts w:hint="default" w:ascii="Times New Roman" w:hAnsi="Times New Roman" w:eastAsia="仿宋_GB2312" w:cs="Times New Roman"/>
          <w:color w:val="auto"/>
          <w:kern w:val="0"/>
          <w:sz w:val="32"/>
          <w:szCs w:val="32"/>
          <w:lang w:val="en-US" w:eastAsia="zh-CN"/>
        </w:rPr>
        <w:t>收集合并后引入1套</w:t>
      </w:r>
      <w:r>
        <w:rPr>
          <w:rFonts w:hint="eastAsia" w:eastAsia="仿宋_GB2312" w:cs="Times New Roman"/>
          <w:color w:val="auto"/>
          <w:kern w:val="0"/>
          <w:sz w:val="32"/>
          <w:szCs w:val="32"/>
          <w:lang w:val="en-US" w:eastAsia="zh-CN"/>
        </w:rPr>
        <w:t>两级活性炭吸附装置</w:t>
      </w:r>
      <w:r>
        <w:rPr>
          <w:rFonts w:hint="default" w:ascii="Times New Roman" w:hAnsi="Times New Roman" w:eastAsia="仿宋_GB2312" w:cs="Times New Roman"/>
          <w:color w:val="auto"/>
          <w:kern w:val="0"/>
          <w:sz w:val="32"/>
          <w:szCs w:val="32"/>
          <w:lang w:val="en-US" w:eastAsia="zh-CN"/>
        </w:rPr>
        <w:t>处理后再经1根</w:t>
      </w:r>
      <w:r>
        <w:rPr>
          <w:rFonts w:hint="eastAsia"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val="en-US" w:eastAsia="zh-CN"/>
        </w:rPr>
        <w:t>m高排气筒排放</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其废气中非甲烷总烃排放</w:t>
      </w:r>
      <w:r>
        <w:rPr>
          <w:rFonts w:hint="eastAsia" w:eastAsia="仿宋_GB2312" w:cs="Times New Roman"/>
          <w:color w:val="auto"/>
          <w:kern w:val="0"/>
          <w:sz w:val="32"/>
          <w:szCs w:val="32"/>
          <w:lang w:val="en-US" w:eastAsia="zh-CN"/>
        </w:rPr>
        <w:t>须满足</w:t>
      </w:r>
      <w:r>
        <w:rPr>
          <w:rFonts w:hint="default" w:ascii="Times New Roman" w:hAnsi="Times New Roman" w:eastAsia="仿宋_GB2312" w:cs="Times New Roman"/>
          <w:color w:val="auto"/>
          <w:kern w:val="0"/>
          <w:sz w:val="32"/>
          <w:szCs w:val="32"/>
          <w:lang w:val="en-US" w:eastAsia="zh-CN"/>
        </w:rPr>
        <w:t>《玻璃工业大气污染物排放标准》(GB 26453-2022)</w:t>
      </w:r>
      <w:r>
        <w:rPr>
          <w:rFonts w:hint="eastAsia" w:eastAsia="仿宋_GB2312" w:cs="Times New Roman"/>
          <w:color w:val="auto"/>
          <w:kern w:val="0"/>
          <w:sz w:val="32"/>
          <w:szCs w:val="32"/>
          <w:lang w:val="en-US" w:eastAsia="zh-CN"/>
        </w:rPr>
        <w:t>中相关限制要求</w:t>
      </w:r>
      <w:r>
        <w:rPr>
          <w:rFonts w:hint="default" w:ascii="Times New Roman" w:hAnsi="Times New Roman" w:eastAsia="仿宋_GB2312" w:cs="Times New Roman"/>
          <w:color w:val="auto"/>
          <w:kern w:val="0"/>
          <w:sz w:val="32"/>
          <w:szCs w:val="32"/>
          <w:lang w:val="en-US" w:eastAsia="zh-CN"/>
        </w:rPr>
        <w:t>。</w:t>
      </w:r>
    </w:p>
    <w:p w14:paraId="51029091">
      <w:pPr>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（二）项目厂区须实行雨污分流。生活污水经厂区化粪池预处理</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其污染物排放须满足东城污水处理厂</w:t>
      </w:r>
      <w:r>
        <w:rPr>
          <w:rFonts w:hint="eastAsia" w:ascii="Times New Roman" w:hAnsi="Times New Roman" w:eastAsia="仿宋_GB2312" w:cs="Times New Roman"/>
          <w:color w:val="auto"/>
          <w:kern w:val="2"/>
          <w:sz w:val="32"/>
          <w:szCs w:val="32"/>
          <w:lang w:val="en-US" w:eastAsia="zh-CN" w:bidi="ar-SA"/>
        </w:rPr>
        <w:t>接管</w:t>
      </w:r>
      <w:r>
        <w:rPr>
          <w:rFonts w:hint="default" w:ascii="Times New Roman" w:hAnsi="Times New Roman" w:eastAsia="仿宋_GB2312" w:cs="Times New Roman"/>
          <w:color w:val="auto"/>
          <w:kern w:val="2"/>
          <w:sz w:val="32"/>
          <w:szCs w:val="32"/>
          <w:lang w:val="en-US" w:eastAsia="zh-CN" w:bidi="ar-SA"/>
        </w:rPr>
        <w:t>准后，再接入市政污水管网，进入东城</w:t>
      </w:r>
      <w:r>
        <w:rPr>
          <w:rFonts w:hint="default" w:ascii="Times New Roman" w:hAnsi="Times New Roman" w:eastAsia="仿宋_GB2312" w:cs="Times New Roman"/>
          <w:color w:val="auto"/>
          <w:kern w:val="2"/>
          <w:sz w:val="32"/>
          <w:szCs w:val="32"/>
          <w:lang w:val="en-GB" w:eastAsia="zh-CN" w:bidi="ar-SA"/>
        </w:rPr>
        <w:t>污水处理厂</w:t>
      </w:r>
      <w:r>
        <w:rPr>
          <w:rFonts w:hint="default" w:ascii="Times New Roman" w:hAnsi="Times New Roman" w:eastAsia="仿宋_GB2312" w:cs="Times New Roman"/>
          <w:color w:val="auto"/>
          <w:kern w:val="2"/>
          <w:sz w:val="32"/>
          <w:szCs w:val="32"/>
          <w:lang w:val="en-US" w:eastAsia="zh-CN" w:bidi="ar-SA"/>
        </w:rPr>
        <w:t>集中处理</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玻璃清洗废水和打孔、磨边废水经沉淀池沉淀后回用，不外排</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高压釜冷却水循环使用不外排</w:t>
      </w:r>
      <w:r>
        <w:rPr>
          <w:rFonts w:hint="eastAsia" w:eastAsia="仿宋_GB2312" w:cs="Times New Roman"/>
          <w:color w:val="auto"/>
          <w:kern w:val="0"/>
          <w:sz w:val="32"/>
          <w:szCs w:val="32"/>
          <w:lang w:val="en-US" w:eastAsia="zh-CN"/>
        </w:rPr>
        <w:t>。</w:t>
      </w:r>
    </w:p>
    <w:p w14:paraId="19CF7537">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4E5EBAC2">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eastAsia"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eastAsia="仿宋_GB2312" w:cs="Times New Roman"/>
          <w:color w:val="auto"/>
          <w:kern w:val="0"/>
          <w:sz w:val="32"/>
          <w:szCs w:val="32"/>
          <w:lang w:val="en-US" w:eastAsia="zh-CN"/>
        </w:rPr>
        <w:t>玻璃边角废料、不合格产品、沉淀池沉渣外、铝条边角废料等一般固体废物处置执行《一般工业固体废物贮存、处置场污染控制标准》(GB 18599-2020)相关要求; 废活性炭、废机油等危险固体废物处置执行《危险废物贮存污染控制标准》(GB 18597-2023) 相关要求;生活垃圾袋装收集后定期交由环卫部门统一处理。</w:t>
      </w:r>
    </w:p>
    <w:p w14:paraId="041D9A9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w:t>
      </w:r>
      <w:r>
        <w:rPr>
          <w:rFonts w:hint="eastAsia" w:eastAsia="仿宋_GB2312" w:cs="Times New Roman"/>
          <w:color w:val="auto"/>
          <w:kern w:val="0"/>
          <w:sz w:val="32"/>
          <w:szCs w:val="32"/>
          <w:lang w:val="en-US" w:eastAsia="zh-CN"/>
        </w:rPr>
        <w:t>暂存间</w:t>
      </w:r>
      <w:r>
        <w:rPr>
          <w:rFonts w:hint="default" w:ascii="Times New Roman" w:hAnsi="Times New Roman" w:eastAsia="仿宋_GB2312" w:cs="Times New Roman"/>
          <w:color w:val="auto"/>
          <w:kern w:val="0"/>
          <w:sz w:val="32"/>
          <w:szCs w:val="32"/>
          <w:lang w:val="en-US" w:eastAsia="zh-CN"/>
        </w:rPr>
        <w:t>等区域采取重点防渗措施，防止土壤和地下水污染。</w:t>
      </w:r>
    </w:p>
    <w:p w14:paraId="35EEAB85">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617B0101">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73CDE76D">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、项目建设应严格执行环境保护“三同时”制度，建成后应按相关规定自主进行竣工环境保护验收，验收合格后方可正式投入生产。</w:t>
      </w:r>
    </w:p>
    <w:p w14:paraId="3ADEB2EE">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 xml:space="preserve">、若建设项目的规模、地点、工艺或者污染防治措施发生重大变化，你单位应依法重新履行相关审批手续。 </w:t>
      </w:r>
    </w:p>
    <w:p w14:paraId="75C74B8E">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、金安经济开发区生态环境工作站负责对该项目建设期、运营期的环境监督管理工作。</w:t>
      </w:r>
    </w:p>
    <w:p w14:paraId="0A71E6EA">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511512BB">
      <w:pPr>
        <w:keepNext w:val="0"/>
        <w:keepLines w:val="0"/>
        <w:pageBreakBefore w:val="0"/>
        <w:widowControl/>
        <w:kinsoku/>
        <w:wordWrap w:val="0"/>
        <w:overflowPunct/>
        <w:topLinePunct w:val="0"/>
        <w:bidi w:val="0"/>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69CBBAF7">
      <w:pPr>
        <w:keepNext w:val="0"/>
        <w:keepLines w:val="0"/>
        <w:pageBreakBefore w:val="0"/>
        <w:widowControl/>
        <w:kinsoku/>
        <w:wordWrap w:val="0"/>
        <w:overflowPunct/>
        <w:topLinePunct w:val="0"/>
        <w:bidi w:val="0"/>
        <w:snapToGrid/>
        <w:spacing w:line="52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57CA2C05">
      <w:pPr>
        <w:keepNext w:val="0"/>
        <w:keepLines w:val="0"/>
        <w:pageBreakBefore w:val="0"/>
        <w:widowControl/>
        <w:kinsoku/>
        <w:wordWrap w:val="0"/>
        <w:overflowPunct/>
        <w:topLinePunct w:val="0"/>
        <w:bidi w:val="0"/>
        <w:snapToGrid/>
        <w:spacing w:line="520" w:lineRule="exact"/>
        <w:ind w:firstLine="5760" w:firstLineChars="18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月</w:t>
      </w:r>
      <w:r>
        <w:rPr>
          <w:rFonts w:hint="eastAsia" w:eastAsia="仿宋_GB2312" w:cs="Times New Roman"/>
          <w:color w:val="auto"/>
          <w:kern w:val="0"/>
          <w:sz w:val="32"/>
          <w:szCs w:val="32"/>
          <w:lang w:val="en-US" w:eastAsia="zh-CN"/>
        </w:rPr>
        <w:t>21</w:t>
      </w:r>
      <w:bookmarkStart w:id="1" w:name="_GoBack"/>
      <w:bookmarkEnd w:id="1"/>
      <w:r>
        <w:rPr>
          <w:rFonts w:hint="default" w:ascii="Times New Roman" w:hAnsi="Times New Roman" w:eastAsia="仿宋_GB2312" w:cs="Times New Roman"/>
          <w:color w:val="auto"/>
          <w:kern w:val="0"/>
          <w:sz w:val="32"/>
          <w:szCs w:val="32"/>
        </w:rPr>
        <w:t>日</w:t>
      </w:r>
    </w:p>
    <w:p w14:paraId="70483C26">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07E035F">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13712394">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0280BEFE">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70C380C">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76122B6">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rPr>
      </w:pPr>
    </w:p>
    <w:p w14:paraId="2C624164">
      <w:pPr>
        <w:keepNext w:val="0"/>
        <w:keepLines w:val="0"/>
        <w:pageBreakBefore w:val="0"/>
        <w:widowControl w:val="0"/>
        <w:kinsoku/>
        <w:wordWrap/>
        <w:overflowPunct/>
        <w:topLinePunct w:val="0"/>
        <w:bidi w:val="0"/>
        <w:snapToGrid/>
        <w:spacing w:line="52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bookmarkStart w:id="0" w:name="OLE_LINK1"/>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南京中贞环境工程</w:t>
      </w:r>
      <w:r>
        <w:rPr>
          <w:rFonts w:hint="eastAsia" w:ascii="仿宋_GB2312" w:hAnsi="仿宋_GB2312" w:eastAsia="仿宋_GB2312" w:cs="仿宋_GB2312"/>
          <w:color w:val="000000"/>
          <w:sz w:val="32"/>
          <w:szCs w:val="32"/>
        </w:rPr>
        <w:t>有限公司</w:t>
      </w:r>
      <w:bookmarkEnd w:id="0"/>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DE20">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4A99C">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C94A99C">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B53B">
    <w:pPr>
      <w:pStyle w:val="12"/>
      <w:framePr w:wrap="around" w:vAnchor="text" w:hAnchor="margin" w:xAlign="center" w:y="1"/>
      <w:rPr>
        <w:rStyle w:val="23"/>
      </w:rPr>
    </w:pPr>
    <w:r>
      <w:fldChar w:fldCharType="begin"/>
    </w:r>
    <w:r>
      <w:rPr>
        <w:rStyle w:val="23"/>
      </w:rPr>
      <w:instrText xml:space="preserve">PAGE  </w:instrText>
    </w:r>
    <w:r>
      <w:fldChar w:fldCharType="end"/>
    </w:r>
  </w:p>
  <w:p w14:paraId="62FA5C5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7B9E">
    <w:pPr>
      <w:pStyle w:val="12"/>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2A267">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2FE2A267">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3A9F"/>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9E468BD"/>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F156FA"/>
    <w:rsid w:val="16F62510"/>
    <w:rsid w:val="17A20290"/>
    <w:rsid w:val="17D4705A"/>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47DFC"/>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8529B"/>
    <w:rsid w:val="335E7F22"/>
    <w:rsid w:val="33DE475C"/>
    <w:rsid w:val="347F0547"/>
    <w:rsid w:val="348B4844"/>
    <w:rsid w:val="356C6DE6"/>
    <w:rsid w:val="36120A46"/>
    <w:rsid w:val="36FC2ECF"/>
    <w:rsid w:val="37C51570"/>
    <w:rsid w:val="37DF3A79"/>
    <w:rsid w:val="39C12B5F"/>
    <w:rsid w:val="3B88423E"/>
    <w:rsid w:val="3BDF606C"/>
    <w:rsid w:val="3BFC4B23"/>
    <w:rsid w:val="3CAD43A2"/>
    <w:rsid w:val="3CE11384"/>
    <w:rsid w:val="3D1231E2"/>
    <w:rsid w:val="3D157EED"/>
    <w:rsid w:val="3D1A61A8"/>
    <w:rsid w:val="3D6F0EF6"/>
    <w:rsid w:val="3EAA3EDF"/>
    <w:rsid w:val="3FC36883"/>
    <w:rsid w:val="3FC65186"/>
    <w:rsid w:val="40123579"/>
    <w:rsid w:val="40C61D12"/>
    <w:rsid w:val="40EB24C0"/>
    <w:rsid w:val="411E1638"/>
    <w:rsid w:val="41326E0A"/>
    <w:rsid w:val="414A48C7"/>
    <w:rsid w:val="43844123"/>
    <w:rsid w:val="43A31CF7"/>
    <w:rsid w:val="441874ED"/>
    <w:rsid w:val="44560803"/>
    <w:rsid w:val="446F1DEF"/>
    <w:rsid w:val="44DA702B"/>
    <w:rsid w:val="44E93ED8"/>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F2E52"/>
    <w:rsid w:val="5C063C5C"/>
    <w:rsid w:val="5C45703E"/>
    <w:rsid w:val="5D392DC1"/>
    <w:rsid w:val="5F3013C0"/>
    <w:rsid w:val="5F926033"/>
    <w:rsid w:val="5FB73BEF"/>
    <w:rsid w:val="604C78B6"/>
    <w:rsid w:val="60F975CE"/>
    <w:rsid w:val="613554FC"/>
    <w:rsid w:val="616D04BB"/>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414DA0"/>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B0A99"/>
    <w:rsid w:val="7A5C09DC"/>
    <w:rsid w:val="7A7B6646"/>
    <w:rsid w:val="7A8259A5"/>
    <w:rsid w:val="7A99117F"/>
    <w:rsid w:val="7ACB5ED9"/>
    <w:rsid w:val="7BB71A00"/>
    <w:rsid w:val="7BD74612"/>
    <w:rsid w:val="7C515CA6"/>
    <w:rsid w:val="7CA7655F"/>
    <w:rsid w:val="7CEA2B6D"/>
    <w:rsid w:val="7D272CE3"/>
    <w:rsid w:val="7D596DDD"/>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9">
    <w:name w:val="Body Text Indent 2"/>
    <w:basedOn w:val="1"/>
    <w:next w:val="10"/>
    <w:qFormat/>
    <w:uiPriority w:val="0"/>
    <w:pPr>
      <w:spacing w:line="500" w:lineRule="exact"/>
      <w:ind w:firstLine="573"/>
    </w:pPr>
    <w:rPr>
      <w:sz w:val="28"/>
    </w:rPr>
  </w:style>
  <w:style w:type="paragraph" w:styleId="10">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qFormat/>
    <w:uiPriority w:val="0"/>
    <w:rPr>
      <w:szCs w:val="20"/>
    </w:rPr>
  </w:style>
  <w:style w:type="paragraph" w:styleId="15">
    <w:name w:val="index 1"/>
    <w:basedOn w:val="1"/>
    <w:next w:val="1"/>
    <w:qFormat/>
    <w:uiPriority w:val="0"/>
    <w:pPr>
      <w:jc w:val="center"/>
    </w:pPr>
    <w:rPr>
      <w:szCs w:val="20"/>
    </w:rPr>
  </w:style>
  <w:style w:type="paragraph" w:styleId="16">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7">
    <w:name w:val="Body Text 2"/>
    <w:basedOn w:val="1"/>
    <w:qFormat/>
    <w:uiPriority w:val="0"/>
    <w:pPr>
      <w:spacing w:after="120" w:line="480" w:lineRule="auto"/>
    </w:pPr>
  </w:style>
  <w:style w:type="paragraph" w:styleId="18">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0"/>
    <w:rPr>
      <w:b/>
      <w:bCs/>
    </w:rPr>
  </w:style>
  <w:style w:type="character" w:styleId="23">
    <w:name w:val="page number"/>
    <w:qFormat/>
    <w:uiPriority w:val="0"/>
  </w:style>
  <w:style w:type="character" w:styleId="24">
    <w:name w:val="FollowedHyperlink"/>
    <w:qFormat/>
    <w:uiPriority w:val="0"/>
    <w:rPr>
      <w:rFonts w:hint="eastAsia" w:ascii="微软雅黑" w:hAnsi="微软雅黑" w:eastAsia="微软雅黑" w:cs="微软雅黑"/>
      <w:color w:val="333333"/>
      <w:u w:val="none"/>
    </w:rPr>
  </w:style>
  <w:style w:type="character" w:styleId="25">
    <w:name w:val="Emphasis"/>
    <w:qFormat/>
    <w:uiPriority w:val="0"/>
  </w:style>
  <w:style w:type="character" w:styleId="26">
    <w:name w:val="HTML Definition"/>
    <w:qFormat/>
    <w:uiPriority w:val="0"/>
  </w:style>
  <w:style w:type="character" w:styleId="27">
    <w:name w:val="HTML Variable"/>
    <w:qFormat/>
    <w:uiPriority w:val="0"/>
  </w:style>
  <w:style w:type="character" w:styleId="28">
    <w:name w:val="Hyperlink"/>
    <w:qFormat/>
    <w:uiPriority w:val="0"/>
    <w:rPr>
      <w:rFonts w:ascii="微软雅黑" w:hAnsi="微软雅黑" w:eastAsia="微软雅黑" w:cs="微软雅黑"/>
      <w:color w:val="333333"/>
      <w:u w:val="none"/>
    </w:rPr>
  </w:style>
  <w:style w:type="character" w:styleId="29">
    <w:name w:val="HTML Code"/>
    <w:qFormat/>
    <w:uiPriority w:val="0"/>
    <w:rPr>
      <w:rFonts w:hint="default" w:ascii="Consolas" w:hAnsi="Consolas" w:eastAsia="Consolas" w:cs="Consolas"/>
      <w:color w:val="C7254E"/>
      <w:sz w:val="21"/>
      <w:szCs w:val="21"/>
      <w:shd w:val="clear" w:color="auto" w:fill="F9F2F4"/>
    </w:rPr>
  </w:style>
  <w:style w:type="character" w:styleId="30">
    <w:name w:val="annotation reference"/>
    <w:semiHidden/>
    <w:qFormat/>
    <w:uiPriority w:val="0"/>
    <w:rPr>
      <w:sz w:val="21"/>
      <w:szCs w:val="21"/>
    </w:rPr>
  </w:style>
  <w:style w:type="character" w:styleId="31">
    <w:name w:val="HTML Cite"/>
    <w:qFormat/>
    <w:uiPriority w:val="0"/>
  </w:style>
  <w:style w:type="character" w:styleId="32">
    <w:name w:val="HTML Keyboard"/>
    <w:qFormat/>
    <w:uiPriority w:val="0"/>
    <w:rPr>
      <w:rFonts w:hint="default" w:ascii="Consolas" w:hAnsi="Consolas" w:eastAsia="Consolas" w:cs="Consolas"/>
      <w:color w:val="FFFFFF"/>
      <w:sz w:val="21"/>
      <w:szCs w:val="21"/>
      <w:shd w:val="clear" w:color="auto" w:fill="333333"/>
    </w:rPr>
  </w:style>
  <w:style w:type="character" w:styleId="33">
    <w:name w:val="HTML Sample"/>
    <w:qFormat/>
    <w:uiPriority w:val="0"/>
    <w:rPr>
      <w:rFonts w:ascii="Consolas" w:hAnsi="Consolas" w:eastAsia="Consolas" w:cs="Consolas"/>
      <w:sz w:val="21"/>
      <w:szCs w:val="21"/>
    </w:rPr>
  </w:style>
  <w:style w:type="paragraph" w:customStyle="1" w:styleId="34">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样式35"/>
    <w:basedOn w:val="1"/>
    <w:qFormat/>
    <w:uiPriority w:val="0"/>
    <w:pPr>
      <w:adjustRightInd w:val="0"/>
      <w:spacing w:line="312" w:lineRule="auto"/>
      <w:ind w:firstLine="567"/>
    </w:pPr>
    <w:rPr>
      <w:rFonts w:ascii="宋体"/>
      <w:kern w:val="0"/>
      <w:sz w:val="28"/>
      <w:szCs w:val="20"/>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1334</Words>
  <Characters>1429</Characters>
  <Lines>7</Lines>
  <Paragraphs>2</Paragraphs>
  <TotalTime>3</TotalTime>
  <ScaleCrop>false</ScaleCrop>
  <LinksUpToDate>false</LinksUpToDate>
  <CharactersWithSpaces>1564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2025-05-20T08:13:08Z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