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2B1CC">
      <w:pPr>
        <w:spacing w:line="560" w:lineRule="exact"/>
        <w:jc w:val="left"/>
        <w:rPr>
          <w:rFonts w:hint="eastAsia"/>
        </w:rPr>
      </w:pPr>
    </w:p>
    <w:p w14:paraId="0C1D84F2">
      <w:pPr>
        <w:spacing w:line="560" w:lineRule="exact"/>
        <w:jc w:val="left"/>
        <w:rPr>
          <w:rFonts w:hint="eastAsia"/>
        </w:rPr>
      </w:pPr>
    </w:p>
    <w:p w14:paraId="2098960B">
      <w:pPr>
        <w:spacing w:line="560" w:lineRule="exact"/>
        <w:jc w:val="left"/>
        <w:rPr>
          <w:rFonts w:hint="eastAsia"/>
        </w:rPr>
      </w:pPr>
    </w:p>
    <w:p w14:paraId="2936B076">
      <w:pPr>
        <w:spacing w:line="560" w:lineRule="exact"/>
        <w:jc w:val="center"/>
        <w:rPr>
          <w:rFonts w:hint="eastAsia" w:ascii="仿宋_GB2312" w:hAnsi="仿宋_GB2312" w:eastAsia="仿宋_GB2312" w:cs="仿宋_GB2312"/>
          <w:sz w:val="32"/>
          <w:szCs w:val="32"/>
        </w:rPr>
      </w:pPr>
    </w:p>
    <w:p w14:paraId="4046487C">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金环管〔2025〕</w:t>
      </w:r>
      <w:r>
        <w:rPr>
          <w:rFonts w:hint="eastAsia" w:eastAsia="仿宋_GB2312" w:cs="Times New Roman"/>
          <w:sz w:val="32"/>
          <w:szCs w:val="32"/>
          <w:lang w:val="en-US" w:eastAsia="zh-CN"/>
        </w:rPr>
        <w:t>18</w:t>
      </w:r>
      <w:r>
        <w:rPr>
          <w:rFonts w:hint="default" w:ascii="Times New Roman" w:hAnsi="Times New Roman" w:eastAsia="仿宋_GB2312" w:cs="Times New Roman"/>
          <w:sz w:val="32"/>
          <w:szCs w:val="32"/>
        </w:rPr>
        <w:t>号</w:t>
      </w:r>
    </w:p>
    <w:p w14:paraId="46EB6043">
      <w:pPr>
        <w:spacing w:line="560" w:lineRule="exact"/>
        <w:rPr>
          <w:rFonts w:hint="eastAsia" w:ascii="仿宋_GB2312" w:eastAsia="仿宋_GB2312"/>
          <w:sz w:val="32"/>
          <w:szCs w:val="32"/>
        </w:rPr>
      </w:pPr>
      <w:bookmarkStart w:id="1" w:name="_GoBack"/>
      <w:bookmarkEnd w:id="1"/>
      <w:r>
        <w:rPr>
          <w:rFonts w:hint="eastAsia"/>
        </w:rPr>
        <w:t xml:space="preserve">                                                                                                                              </w:t>
      </w:r>
    </w:p>
    <w:p w14:paraId="78385A73">
      <w:pPr>
        <w:keepNext w:val="0"/>
        <w:keepLines w:val="0"/>
        <w:pageBreakBefore w:val="0"/>
        <w:widowControl w:val="0"/>
        <w:kinsoku/>
        <w:wordWrap/>
        <w:overflowPunct/>
        <w:topLinePunct w:val="0"/>
        <w:autoSpaceDE/>
        <w:autoSpaceDN/>
        <w:bidi w:val="0"/>
        <w:adjustRightInd/>
        <w:snapToGrid/>
        <w:spacing w:before="240"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关于安徽宏业年产2000万套新能源汽车塑料零部件项目环境影响报告表的批复</w:t>
      </w:r>
    </w:p>
    <w:p w14:paraId="530688FC">
      <w:pPr>
        <w:pStyle w:val="11"/>
        <w:keepNext w:val="0"/>
        <w:keepLines w:val="0"/>
        <w:pageBreakBefore w:val="0"/>
        <w:kinsoku/>
        <w:overflowPunct/>
        <w:topLinePunct w:val="0"/>
        <w:bidi w:val="0"/>
        <w:snapToGrid/>
        <w:spacing w:after="0" w:line="560" w:lineRule="exact"/>
        <w:textAlignment w:val="auto"/>
        <w:rPr>
          <w:rFonts w:hint="default" w:ascii="Times New Roman" w:hAnsi="Times New Roman" w:cs="Times New Roman"/>
          <w:color w:val="auto"/>
        </w:rPr>
      </w:pPr>
    </w:p>
    <w:p w14:paraId="5CE04D95">
      <w:pPr>
        <w:keepNext w:val="0"/>
        <w:keepLines w:val="0"/>
        <w:pageBreakBefore w:val="0"/>
        <w:widowControl/>
        <w:kinsoku/>
        <w:wordWrap w:val="0"/>
        <w:overflowPunct/>
        <w:topLinePunct w:val="0"/>
        <w:bidi w:val="0"/>
        <w:snapToGrid/>
        <w:spacing w:line="56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安徽宏业科技有限公司</w:t>
      </w:r>
      <w:r>
        <w:rPr>
          <w:rFonts w:hint="default" w:ascii="Times New Roman" w:hAnsi="Times New Roman" w:eastAsia="仿宋_GB2312" w:cs="Times New Roman"/>
          <w:color w:val="auto"/>
          <w:kern w:val="0"/>
          <w:sz w:val="32"/>
          <w:szCs w:val="32"/>
        </w:rPr>
        <w:t>：</w:t>
      </w:r>
    </w:p>
    <w:p w14:paraId="76E62C72">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你单位报来《安徽宏业年产2000万套新能源汽车塑料零部件项目环境影响评价报告表》（以下简称《报告表》）及有关材料收悉。</w:t>
      </w:r>
      <w:r>
        <w:rPr>
          <w:rFonts w:hint="default" w:ascii="Times New Roman" w:hAnsi="Times New Roman" w:eastAsia="仿宋_GB2312" w:cs="Times New Roman"/>
          <w:color w:val="auto"/>
          <w:kern w:val="0"/>
          <w:sz w:val="32"/>
          <w:szCs w:val="32"/>
          <w:lang w:val="en-US" w:eastAsia="zh-CN"/>
        </w:rPr>
        <w:t>该项目占地14237m</w:t>
      </w:r>
      <w:r>
        <w:rPr>
          <w:rFonts w:hint="default" w:ascii="Times New Roman" w:hAnsi="Times New Roman" w:eastAsia="仿宋_GB2312" w:cs="Times New Roman"/>
          <w:color w:val="auto"/>
          <w:kern w:val="0"/>
          <w:sz w:val="32"/>
          <w:szCs w:val="32"/>
          <w:vertAlign w:val="superscript"/>
          <w:lang w:val="en-US" w:eastAsia="zh-CN"/>
        </w:rPr>
        <w:t>2</w:t>
      </w:r>
      <w:r>
        <w:rPr>
          <w:rFonts w:hint="default" w:ascii="Times New Roman" w:hAnsi="Times New Roman" w:eastAsia="仿宋_GB2312" w:cs="Times New Roman"/>
          <w:color w:val="auto"/>
          <w:kern w:val="0"/>
          <w:sz w:val="32"/>
          <w:szCs w:val="32"/>
          <w:lang w:val="en-US" w:eastAsia="zh-CN"/>
        </w:rPr>
        <w:t>，总建筑面积15501.48m</w:t>
      </w:r>
      <w:r>
        <w:rPr>
          <w:rFonts w:hint="default" w:ascii="Times New Roman" w:hAnsi="Times New Roman" w:eastAsia="仿宋_GB2312" w:cs="Times New Roman"/>
          <w:color w:val="auto"/>
          <w:kern w:val="0"/>
          <w:sz w:val="32"/>
          <w:szCs w:val="32"/>
          <w:vertAlign w:val="superscript"/>
          <w:lang w:val="en-US" w:eastAsia="zh-CN"/>
        </w:rPr>
        <w:t>2</w:t>
      </w:r>
      <w:r>
        <w:rPr>
          <w:rFonts w:hint="default" w:ascii="Times New Roman" w:hAnsi="Times New Roman" w:eastAsia="仿宋_GB2312" w:cs="Times New Roman"/>
          <w:color w:val="auto"/>
          <w:kern w:val="0"/>
          <w:sz w:val="32"/>
          <w:szCs w:val="32"/>
          <w:lang w:val="en-US" w:eastAsia="zh-CN"/>
        </w:rPr>
        <w:t>，主要规划建设1栋生产厂房、1栋综合楼及给排水、供配电等基础设施，于生产厂房内布设塑料粒子改性造粒生产线、注塑成型机组、产品组装设备等生产设施及配套环保设施，</w:t>
      </w:r>
      <w:r>
        <w:rPr>
          <w:rFonts w:hint="eastAsia" w:eastAsia="仿宋_GB2312" w:cs="Times New Roman"/>
          <w:color w:val="auto"/>
          <w:kern w:val="0"/>
          <w:sz w:val="32"/>
          <w:szCs w:val="32"/>
          <w:lang w:val="en-US" w:eastAsia="zh-CN"/>
        </w:rPr>
        <w:t>项目建成后</w:t>
      </w:r>
      <w:r>
        <w:rPr>
          <w:rFonts w:hint="default" w:ascii="Times New Roman" w:hAnsi="Times New Roman" w:eastAsia="仿宋_GB2312" w:cs="Times New Roman"/>
          <w:color w:val="auto"/>
          <w:kern w:val="0"/>
          <w:sz w:val="32"/>
          <w:szCs w:val="32"/>
          <w:lang w:val="en-US" w:eastAsia="zh-CN"/>
        </w:rPr>
        <w:t>可实现年产各类新能源汽车塑料零部件2000万套的生产能力。</w:t>
      </w:r>
    </w:p>
    <w:p w14:paraId="21DFB352">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该项目已经六安金安经济开发区</w:t>
      </w:r>
      <w:r>
        <w:rPr>
          <w:rFonts w:hint="eastAsia" w:eastAsia="仿宋_GB2312" w:cs="Times New Roman"/>
          <w:color w:val="auto"/>
          <w:kern w:val="0"/>
          <w:sz w:val="32"/>
          <w:szCs w:val="32"/>
          <w:lang w:val="en-US" w:eastAsia="zh-CN"/>
        </w:rPr>
        <w:t>经济发展局</w:t>
      </w:r>
      <w:r>
        <w:rPr>
          <w:rFonts w:hint="default" w:ascii="Times New Roman" w:hAnsi="Times New Roman" w:eastAsia="仿宋_GB2312" w:cs="Times New Roman"/>
          <w:color w:val="auto"/>
          <w:kern w:val="0"/>
          <w:sz w:val="32"/>
          <w:szCs w:val="32"/>
          <w:lang w:val="en-US" w:eastAsia="zh-CN"/>
        </w:rPr>
        <w:t>备案，项目代码为：（2406-341574-04-0</w:t>
      </w:r>
      <w:r>
        <w:rPr>
          <w:rFonts w:hint="eastAsia"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val="en-US" w:eastAsia="zh-CN"/>
        </w:rPr>
        <w:t>-</w:t>
      </w:r>
      <w:r>
        <w:rPr>
          <w:rFonts w:hint="eastAsia" w:eastAsia="仿宋_GB2312" w:cs="Times New Roman"/>
          <w:color w:val="auto"/>
          <w:kern w:val="0"/>
          <w:sz w:val="32"/>
          <w:szCs w:val="32"/>
          <w:lang w:val="en-US" w:eastAsia="zh-CN"/>
        </w:rPr>
        <w:t>686391</w:t>
      </w:r>
      <w:r>
        <w:rPr>
          <w:rFonts w:hint="default" w:ascii="Times New Roman" w:hAnsi="Times New Roman" w:eastAsia="仿宋_GB2312" w:cs="Times New Roman"/>
          <w:color w:val="auto"/>
          <w:kern w:val="0"/>
          <w:sz w:val="32"/>
          <w:szCs w:val="32"/>
          <w:lang w:val="en-US" w:eastAsia="zh-CN"/>
        </w:rPr>
        <w:t>），根据《中华人民共和国环境影响评价法》等有关法律规定和专家评审意见，现批复如下：</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一、在全面落实《报告表》提出的各项环境保护措施的前提下，从环境保护角度，我局同意你单位按《报告表》所列建设项目的性质、规模、地点、工艺以及污染防治措施进行建设。</w:t>
      </w:r>
    </w:p>
    <w:p w14:paraId="39F14508">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二、建设单位要采取措施加强施工期的环境管理，根据《安徽省建筑工程施工和预拌混凝土生产扬尘污染防治标准》要求，切实做好以下工作：</w:t>
      </w:r>
    </w:p>
    <w:p w14:paraId="68F56F28">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（一）合理安排施工时间，禁止午休（12:00—14:00）、夜间（22</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00-</w:t>
      </w:r>
      <w:r>
        <w:rPr>
          <w:rFonts w:hint="eastAsia" w:eastAsia="仿宋_GB2312" w:cs="Times New Roman"/>
          <w:color w:val="auto"/>
          <w:kern w:val="0"/>
          <w:sz w:val="32"/>
          <w:szCs w:val="32"/>
          <w:lang w:val="en-US" w:eastAsia="zh-CN"/>
        </w:rPr>
        <w:t>次日</w:t>
      </w:r>
      <w:r>
        <w:rPr>
          <w:rFonts w:hint="default" w:ascii="Times New Roman" w:hAnsi="Times New Roman" w:eastAsia="仿宋_GB2312" w:cs="Times New Roman"/>
          <w:color w:val="auto"/>
          <w:kern w:val="0"/>
          <w:sz w:val="32"/>
          <w:szCs w:val="32"/>
          <w:lang w:val="en-US" w:eastAsia="zh-CN"/>
        </w:rPr>
        <w:t>6:00）施工，确因特殊需要须连续作业的，必须有县级以上人民政府或者其有关主管部门的证明并向周围群众公示后才能施工。</w:t>
      </w:r>
    </w:p>
    <w:p w14:paraId="602E9D9C">
      <w:pPr>
        <w:keepNext w:val="0"/>
        <w:keepLines w:val="0"/>
        <w:suppressLineNumbers w:val="0"/>
        <w:tabs>
          <w:tab w:val="left" w:pos="2944"/>
        </w:tabs>
        <w:spacing w:before="0" w:beforeAutospacing="0" w:after="0" w:afterAutospacing="0" w:line="360" w:lineRule="auto"/>
        <w:ind w:left="0" w:right="0"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（二）施工期建筑废水经沉淀池处理后回用于施工，严禁乱倒乱排，防止污染水环境。施工期生活污水经</w:t>
      </w:r>
      <w:r>
        <w:rPr>
          <w:rFonts w:hint="eastAsia" w:ascii="Times New Roman" w:hAnsi="Times New Roman" w:eastAsia="仿宋_GB2312" w:cs="Times New Roman"/>
          <w:color w:val="auto"/>
          <w:kern w:val="0"/>
          <w:sz w:val="32"/>
          <w:szCs w:val="32"/>
          <w:lang w:val="en-US" w:eastAsia="zh-CN"/>
        </w:rPr>
        <w:t>项目区临时公厕和化粪池收集预处理后接管纳入市政污水管网处理。</w:t>
      </w:r>
    </w:p>
    <w:p w14:paraId="2A8658DE">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（三）施工场地要采取四周设置围挡、洒水、覆盖防尘网等防尘措施，做到施工现场扬尘治理“六个百分之百”，尽可能减少扬尘对周围环境的污染。</w:t>
      </w:r>
    </w:p>
    <w:p w14:paraId="71C57855">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（四）施工过程中产生的弃土碎石尽可能合理回填利用，不能回填利用的，要及时清运到政府部门规定的场所处置，不得随意倾倒、堆放。</w:t>
      </w:r>
    </w:p>
    <w:p w14:paraId="3158CB76">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（五）施工过程中必须采取合理安排施工时间，采取拦挡、地面硬化等有效措施防治水土流失。</w:t>
      </w:r>
    </w:p>
    <w:p w14:paraId="44F174A7">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三、项目投产后,要认真落实《报告表》中提出的各项环境保护措施，并切实做好以下工作：</w:t>
      </w:r>
    </w:p>
    <w:p w14:paraId="5701F46E">
      <w:pPr>
        <w:pStyle w:val="42"/>
        <w:spacing w:line="360" w:lineRule="auto"/>
        <w:ind w:firstLine="640" w:firstLineChars="200"/>
        <w:jc w:val="both"/>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（一）原则同意《报告表</w:t>
      </w:r>
      <w:r>
        <w:rPr>
          <w:rFonts w:hint="default" w:ascii="Times New Roman" w:hAnsi="Times New Roman" w:eastAsia="仿宋_GB2312" w:cs="Times New Roman"/>
          <w:color w:val="auto"/>
          <w:kern w:val="0"/>
          <w:sz w:val="32"/>
          <w:szCs w:val="32"/>
          <w:lang w:val="en-GB" w:eastAsia="zh-CN"/>
        </w:rPr>
        <w:t>》提出的废气处</w:t>
      </w:r>
      <w:r>
        <w:rPr>
          <w:rFonts w:hint="default" w:ascii="Times New Roman" w:hAnsi="Times New Roman" w:eastAsia="仿宋_GB2312" w:cs="Times New Roman"/>
          <w:color w:val="auto"/>
          <w:kern w:val="0"/>
          <w:sz w:val="32"/>
          <w:szCs w:val="32"/>
          <w:lang w:val="en-US" w:eastAsia="zh-CN"/>
        </w:rPr>
        <w:t>理方案。注塑</w:t>
      </w:r>
      <w:r>
        <w:rPr>
          <w:rFonts w:hint="eastAsia" w:ascii="Times New Roman" w:eastAsia="仿宋_GB2312" w:cs="Times New Roman"/>
          <w:color w:val="auto"/>
          <w:kern w:val="0"/>
          <w:sz w:val="32"/>
          <w:szCs w:val="32"/>
          <w:lang w:val="en-US" w:eastAsia="zh-CN"/>
        </w:rPr>
        <w:t>成型废气</w:t>
      </w:r>
      <w:r>
        <w:rPr>
          <w:rFonts w:hint="default" w:ascii="Times New Roman" w:hAnsi="Times New Roman" w:eastAsia="仿宋_GB2312" w:cs="Times New Roman"/>
          <w:color w:val="auto"/>
          <w:kern w:val="0"/>
          <w:sz w:val="32"/>
          <w:szCs w:val="32"/>
          <w:lang w:val="en-US" w:eastAsia="zh-CN"/>
        </w:rPr>
        <w:t>、塑料焊接</w:t>
      </w:r>
      <w:r>
        <w:rPr>
          <w:rFonts w:hint="eastAsia" w:ascii="Times New Roman" w:hAnsi="Times New Roman" w:eastAsia="仿宋_GB2312" w:cs="Times New Roman"/>
          <w:color w:val="auto"/>
          <w:kern w:val="0"/>
          <w:sz w:val="32"/>
          <w:szCs w:val="32"/>
          <w:lang w:val="en-US" w:eastAsia="zh-CN" w:bidi="ar-SA"/>
        </w:rPr>
        <w:t>废气通过集气罩收集</w:t>
      </w:r>
      <w:r>
        <w:rPr>
          <w:rFonts w:hint="eastAsia" w:ascii="Times New Roman" w:eastAsia="仿宋_GB2312" w:cs="Times New Roman"/>
          <w:color w:val="auto"/>
          <w:kern w:val="0"/>
          <w:sz w:val="32"/>
          <w:szCs w:val="32"/>
          <w:lang w:val="en-US" w:eastAsia="zh-CN" w:bidi="ar-SA"/>
        </w:rPr>
        <w:t>后</w:t>
      </w:r>
      <w:r>
        <w:rPr>
          <w:rFonts w:hint="eastAsia" w:ascii="Times New Roman" w:hAnsi="Times New Roman" w:eastAsia="仿宋_GB2312" w:cs="Times New Roman"/>
          <w:color w:val="auto"/>
          <w:kern w:val="0"/>
          <w:sz w:val="32"/>
          <w:szCs w:val="32"/>
          <w:lang w:val="en-US" w:eastAsia="zh-CN" w:bidi="ar-SA"/>
        </w:rPr>
        <w:t>引入一套二级活性炭吸附装置处理后再经1根1</w:t>
      </w:r>
      <w:r>
        <w:rPr>
          <w:rFonts w:hint="eastAsia" w:ascii="Times New Roman" w:eastAsia="仿宋_GB2312" w:cs="Times New Roman"/>
          <w:color w:val="auto"/>
          <w:kern w:val="0"/>
          <w:sz w:val="32"/>
          <w:szCs w:val="32"/>
          <w:lang w:val="en-US" w:eastAsia="zh-CN" w:bidi="ar-SA"/>
        </w:rPr>
        <w:t>5</w:t>
      </w:r>
      <w:r>
        <w:rPr>
          <w:rFonts w:hint="eastAsia" w:ascii="Times New Roman" w:hAnsi="Times New Roman" w:eastAsia="仿宋_GB2312" w:cs="Times New Roman"/>
          <w:color w:val="auto"/>
          <w:kern w:val="0"/>
          <w:sz w:val="32"/>
          <w:szCs w:val="32"/>
          <w:lang w:val="en-US" w:eastAsia="zh-CN" w:bidi="ar-SA"/>
        </w:rPr>
        <w:t>m高排气筒排放</w:t>
      </w:r>
      <w:r>
        <w:rPr>
          <w:rFonts w:hint="eastAsia" w:ascii="Times New Roman" w:eastAsia="仿宋_GB2312" w:cs="Times New Roman"/>
          <w:color w:val="auto"/>
          <w:kern w:val="0"/>
          <w:sz w:val="32"/>
          <w:szCs w:val="32"/>
          <w:lang w:val="en-US" w:eastAsia="zh-CN" w:bidi="ar-SA"/>
        </w:rPr>
        <w:t>；塑料改性造粒熔融挤出</w:t>
      </w:r>
      <w:r>
        <w:rPr>
          <w:rFonts w:hint="eastAsia" w:ascii="Times New Roman" w:hAnsi="Times New Roman" w:eastAsia="仿宋_GB2312" w:cs="Times New Roman"/>
          <w:color w:val="auto"/>
          <w:kern w:val="0"/>
          <w:sz w:val="32"/>
          <w:szCs w:val="32"/>
          <w:lang w:val="en-US" w:eastAsia="zh-CN"/>
        </w:rPr>
        <w:t>废气通过集气罩收集，并加设软帘增加局部密度，收集的废气经1套二级活性炭吸附装置处理后再经1根15m高排气筒排放；塑料破碎粉尘经集气罩收集后引入1套布袋除尘器处理后再经1根15m高排气筒排放；其废气中非甲烷总烃、苯乙烯、氯苯类、二氯甲烷排放执行《固定源挥发性有机物综合排放标准 第6部分：其他行业》（DB34/4812.6-2024）相关标准限值；颗粒物、丙烯腈、氨、1,3-丁二烯、酚类、甲苯、乙苯排放执行《合成树脂工业污染物排放标准》（GB 31572-2015及2024年修改单）表5中特别排放限值；恶臭污染物排放执行《恶臭污染物排放标准》（GB14554-93）表2中排放限值。非甲烷总烃、甲苯、颗粒物厂界无组织排放执行《合成树脂工业污染物排放标准》（GB 31572-2015及2024年修改单）表9中无组织排放监控浓度限值；丙烯腈、酚类、氯苯类、二氯甲烷厂界无组织排放执行《固定源挥发性有机物综合排放标准 第6部分：其他行业》（DB34/4812.6-2024）表5中无组织排放监控浓度限值；苯乙烯、氨厂界、臭气浓度厂界无组织排放执行《恶臭污染物排放标准》（GB14554-93）表1中无组织排放监控浓度限值；</w:t>
      </w:r>
    </w:p>
    <w:p w14:paraId="1560B410">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（二）项目厂区须实行雨污分流。</w:t>
      </w:r>
      <w:r>
        <w:rPr>
          <w:rFonts w:hint="eastAsia" w:eastAsia="仿宋_GB2312" w:cs="Times New Roman"/>
          <w:color w:val="auto"/>
          <w:kern w:val="0"/>
          <w:sz w:val="32"/>
          <w:szCs w:val="32"/>
          <w:lang w:val="en-US" w:eastAsia="zh-CN"/>
        </w:rPr>
        <w:t>生活污水</w:t>
      </w:r>
      <w:r>
        <w:rPr>
          <w:rFonts w:hint="eastAsia" w:ascii="Times New Roman" w:hAnsi="Times New Roman" w:eastAsia="仿宋_GB2312" w:cs="Times New Roman"/>
          <w:color w:val="auto"/>
          <w:kern w:val="0"/>
          <w:sz w:val="32"/>
          <w:szCs w:val="32"/>
          <w:lang w:val="en-US" w:eastAsia="zh-CN"/>
        </w:rPr>
        <w:t>经化粪池处理后</w:t>
      </w:r>
      <w:r>
        <w:rPr>
          <w:rFonts w:hint="eastAsia" w:eastAsia="仿宋_GB2312" w:cs="Times New Roman"/>
          <w:color w:val="auto"/>
          <w:kern w:val="0"/>
          <w:sz w:val="32"/>
          <w:szCs w:val="32"/>
          <w:lang w:val="en-US" w:eastAsia="zh-CN"/>
        </w:rPr>
        <w:t>纳</w:t>
      </w:r>
      <w:r>
        <w:rPr>
          <w:rFonts w:hint="eastAsia" w:ascii="Times New Roman" w:hAnsi="Times New Roman" w:eastAsia="仿宋_GB2312" w:cs="Times New Roman"/>
          <w:color w:val="auto"/>
          <w:kern w:val="0"/>
          <w:sz w:val="32"/>
          <w:szCs w:val="32"/>
          <w:lang w:val="en-US" w:eastAsia="zh-CN"/>
        </w:rPr>
        <w:t>入市政污水管网，</w:t>
      </w:r>
      <w:r>
        <w:rPr>
          <w:rFonts w:hint="eastAsia" w:eastAsia="仿宋_GB2312" w:cs="Times New Roman"/>
          <w:color w:val="auto"/>
          <w:kern w:val="0"/>
          <w:sz w:val="32"/>
          <w:szCs w:val="32"/>
          <w:lang w:val="en-US" w:eastAsia="zh-CN"/>
        </w:rPr>
        <w:t>其废水中主要污染物</w:t>
      </w:r>
      <w:r>
        <w:rPr>
          <w:rFonts w:hint="eastAsia" w:ascii="Times New Roman" w:hAnsi="Times New Roman" w:eastAsia="仿宋_GB2312" w:cs="Times New Roman"/>
          <w:color w:val="auto"/>
          <w:kern w:val="0"/>
          <w:sz w:val="32"/>
          <w:szCs w:val="32"/>
          <w:lang w:val="en-US" w:eastAsia="zh-CN"/>
        </w:rPr>
        <w:t>满足东部新城污水处理厂接管标准后，</w:t>
      </w:r>
      <w:r>
        <w:rPr>
          <w:rFonts w:hint="eastAsia" w:eastAsia="仿宋_GB2312" w:cs="Times New Roman"/>
          <w:color w:val="auto"/>
          <w:kern w:val="0"/>
          <w:sz w:val="32"/>
          <w:szCs w:val="32"/>
          <w:lang w:val="en-US" w:eastAsia="zh-CN"/>
        </w:rPr>
        <w:t>再</w:t>
      </w:r>
      <w:r>
        <w:rPr>
          <w:rFonts w:hint="eastAsia" w:ascii="Times New Roman" w:hAnsi="Times New Roman" w:eastAsia="仿宋_GB2312" w:cs="Times New Roman"/>
          <w:color w:val="auto"/>
          <w:kern w:val="0"/>
          <w:sz w:val="32"/>
          <w:szCs w:val="32"/>
          <w:lang w:val="en-US" w:eastAsia="zh-CN"/>
        </w:rPr>
        <w:t>进入东部新城污水处理厂集中处理。</w:t>
      </w:r>
    </w:p>
    <w:p w14:paraId="33AB7FB2">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GB" w:eastAsia="zh-CN"/>
        </w:rPr>
      </w:pPr>
      <w:r>
        <w:rPr>
          <w:rFonts w:hint="default" w:ascii="Times New Roman" w:hAnsi="Times New Roman" w:eastAsia="仿宋_GB2312" w:cs="Times New Roman"/>
          <w:color w:val="auto"/>
          <w:kern w:val="0"/>
          <w:sz w:val="32"/>
          <w:szCs w:val="32"/>
          <w:lang w:val="en-GB" w:eastAsia="zh-CN"/>
        </w:rPr>
        <w:t>（</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lang w:val="en-GB" w:eastAsia="zh-CN"/>
        </w:rPr>
        <w:t>）合理布局，选用低噪声设备，采取减振、隔声、封闭等措施，减轻噪声排放，确保厂界噪声满足《工业企业厂界环境噪声排放标准》（GB12348-2008）中相关限值要求。</w:t>
      </w:r>
    </w:p>
    <w:p w14:paraId="5A86FC57">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（四）加强固体废物分类收集。</w:t>
      </w:r>
      <w:r>
        <w:rPr>
          <w:rFonts w:hint="eastAsia" w:ascii="Times New Roman" w:hAnsi="Times New Roman" w:eastAsia="仿宋_GB2312" w:cs="Times New Roman"/>
          <w:color w:val="auto"/>
          <w:kern w:val="0"/>
          <w:sz w:val="32"/>
          <w:szCs w:val="32"/>
          <w:lang w:val="en-US" w:eastAsia="zh-CN"/>
        </w:rPr>
        <w:t>废包装</w:t>
      </w:r>
      <w:r>
        <w:rPr>
          <w:rFonts w:hint="eastAsia" w:eastAsia="仿宋_GB2312" w:cs="Times New Roman"/>
          <w:color w:val="auto"/>
          <w:kern w:val="0"/>
          <w:sz w:val="32"/>
          <w:szCs w:val="32"/>
          <w:lang w:val="en-US" w:eastAsia="zh-CN"/>
        </w:rPr>
        <w:t>材料</w:t>
      </w:r>
      <w:r>
        <w:rPr>
          <w:rFonts w:hint="default" w:ascii="Times New Roman" w:hAnsi="Times New Roman" w:eastAsia="仿宋_GB2312" w:cs="Times New Roman"/>
          <w:color w:val="auto"/>
          <w:kern w:val="0"/>
          <w:sz w:val="32"/>
          <w:szCs w:val="32"/>
          <w:lang w:val="en-US" w:eastAsia="zh-CN"/>
        </w:rPr>
        <w:t>等一般固体废物处置执行《一般工业固体废物贮存和填埋污染控制标准》GB18599-2020)相关要求；废</w:t>
      </w:r>
      <w:r>
        <w:rPr>
          <w:rFonts w:hint="eastAsia" w:ascii="Times New Roman" w:hAnsi="Times New Roman" w:eastAsia="仿宋_GB2312" w:cs="Times New Roman"/>
          <w:color w:val="auto"/>
          <w:kern w:val="0"/>
          <w:sz w:val="32"/>
          <w:szCs w:val="32"/>
          <w:lang w:val="en-US" w:eastAsia="zh-CN"/>
        </w:rPr>
        <w:t>活性炭</w:t>
      </w:r>
      <w:r>
        <w:rPr>
          <w:rFonts w:hint="default" w:ascii="Times New Roman" w:hAnsi="Times New Roman" w:eastAsia="仿宋_GB2312" w:cs="Times New Roman"/>
          <w:color w:val="auto"/>
          <w:kern w:val="0"/>
          <w:sz w:val="32"/>
          <w:szCs w:val="32"/>
          <w:lang w:val="en-US" w:eastAsia="zh-CN"/>
        </w:rPr>
        <w:t>和废</w:t>
      </w:r>
      <w:r>
        <w:rPr>
          <w:rFonts w:hint="eastAsia" w:eastAsia="仿宋_GB2312" w:cs="Times New Roman"/>
          <w:color w:val="auto"/>
          <w:kern w:val="0"/>
          <w:sz w:val="32"/>
          <w:szCs w:val="32"/>
          <w:lang w:val="en-US" w:eastAsia="zh-CN"/>
        </w:rPr>
        <w:t>润滑油</w:t>
      </w:r>
      <w:r>
        <w:rPr>
          <w:rFonts w:hint="default" w:ascii="Times New Roman" w:hAnsi="Times New Roman" w:eastAsia="仿宋_GB2312" w:cs="Times New Roman"/>
          <w:color w:val="auto"/>
          <w:kern w:val="0"/>
          <w:sz w:val="32"/>
          <w:szCs w:val="32"/>
          <w:lang w:val="en-US" w:eastAsia="zh-CN"/>
        </w:rPr>
        <w:t>等危险废物处置执行《危险废物贮存污染控制标准》（GB18597-2023）相关要求。生活垃圾袋装收集后交由环卫部门统一处置。</w:t>
      </w:r>
    </w:p>
    <w:p w14:paraId="6903386F">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（五）严格落实《报告表》提出的防渗措施。按照主动预防、源头控制、分区防渗要求，对危废库等区域采取重点防渗措施，防止土壤和地下水污染。</w:t>
      </w:r>
    </w:p>
    <w:p w14:paraId="47453D4A">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（六）加强环境风险防范。严格落实《报告表》中提出的风险防范措施、环境管理要求和环境监测计划，编制应急预案，并定期开展应急演练，定期开展监测，及时公开。</w:t>
      </w:r>
    </w:p>
    <w:p w14:paraId="132E1430">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（七）做好与排污许可证申领的衔接，按照排污许可技术规范要求，完成排污许可证申报登记工作。</w:t>
      </w:r>
    </w:p>
    <w:p w14:paraId="4BA3C696">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（八）项目总量指标为 VOCs:</w:t>
      </w:r>
      <w:r>
        <w:rPr>
          <w:rFonts w:hint="eastAsia"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lang w:val="en-US" w:eastAsia="zh-CN"/>
        </w:rPr>
        <w:t>.</w:t>
      </w:r>
      <w:r>
        <w:rPr>
          <w:rFonts w:hint="eastAsia" w:eastAsia="仿宋_GB2312" w:cs="Times New Roman"/>
          <w:color w:val="auto"/>
          <w:kern w:val="0"/>
          <w:sz w:val="32"/>
          <w:szCs w:val="32"/>
          <w:lang w:val="en-US" w:eastAsia="zh-CN"/>
        </w:rPr>
        <w:t>989</w:t>
      </w:r>
      <w:r>
        <w:rPr>
          <w:rFonts w:hint="default" w:ascii="Times New Roman" w:hAnsi="Times New Roman" w:eastAsia="仿宋_GB2312" w:cs="Times New Roman"/>
          <w:color w:val="auto"/>
          <w:kern w:val="0"/>
          <w:sz w:val="32"/>
          <w:szCs w:val="32"/>
          <w:lang w:val="en-US" w:eastAsia="zh-CN"/>
        </w:rPr>
        <w:t>t/a，项目运营后排放的总量不得超过市生态环境局核定的总量。</w:t>
      </w:r>
    </w:p>
    <w:p w14:paraId="0C4A9A56">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四、项目建设应严格执行环境保护“三同时”制度，建成后应按相关规定自主进行竣工环境保护验收，验收合格后方可正式投入生产。</w:t>
      </w:r>
    </w:p>
    <w:p w14:paraId="0409D9A3">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五、若建设项目的规模、地点、工艺或者污染防治措施发生重大变化，你单位应依法重新履行相关审批手续。 </w:t>
      </w:r>
    </w:p>
    <w:p w14:paraId="05252AA3">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六、金安经济开发区生态环境工作站负责对该项目建设期、运营期的环境监督管理工作。</w:t>
      </w:r>
    </w:p>
    <w:p w14:paraId="3E768057">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rPr>
      </w:pPr>
    </w:p>
    <w:p w14:paraId="784788C9">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rPr>
      </w:pPr>
    </w:p>
    <w:p w14:paraId="0BC85F54">
      <w:pPr>
        <w:keepNext w:val="0"/>
        <w:keepLines w:val="0"/>
        <w:pageBreakBefore w:val="0"/>
        <w:widowControl/>
        <w:kinsoku/>
        <w:wordWrap w:val="0"/>
        <w:overflowPunct/>
        <w:topLinePunct w:val="0"/>
        <w:bidi w:val="0"/>
        <w:snapToGrid/>
        <w:spacing w:line="560" w:lineRule="exact"/>
        <w:ind w:firstLine="4800" w:firstLineChars="15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六安市金安区生态环境分局</w:t>
      </w:r>
    </w:p>
    <w:p w14:paraId="55EEDA16">
      <w:pPr>
        <w:keepNext w:val="0"/>
        <w:keepLines w:val="0"/>
        <w:pageBreakBefore w:val="0"/>
        <w:widowControl/>
        <w:kinsoku/>
        <w:wordWrap w:val="0"/>
        <w:overflowPunct/>
        <w:topLinePunct w:val="0"/>
        <w:bidi w:val="0"/>
        <w:snapToGrid/>
        <w:spacing w:line="560" w:lineRule="exact"/>
        <w:ind w:firstLine="5760" w:firstLineChars="1800"/>
        <w:jc w:val="left"/>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auto"/>
          <w:kern w:val="0"/>
          <w:sz w:val="32"/>
          <w:szCs w:val="32"/>
        </w:rPr>
        <w:t>2025年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月1</w:t>
      </w:r>
      <w:r>
        <w:rPr>
          <w:rFonts w:hint="eastAsia"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日</w:t>
      </w:r>
    </w:p>
    <w:p w14:paraId="29AD07C2">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00EEC432">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62621D54">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5C104127">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4C04C723">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3560E76D">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37977B2E">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021DBD58">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0E88F186">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抄：市生态环境局，区直有关单位，</w:t>
      </w:r>
      <w:r>
        <w:rPr>
          <w:rFonts w:hint="eastAsia" w:ascii="仿宋_GB2312" w:hAnsi="仿宋_GB2312" w:eastAsia="仿宋_GB2312" w:cs="仿宋_GB2312"/>
          <w:color w:val="000000"/>
          <w:sz w:val="32"/>
          <w:szCs w:val="32"/>
          <w:lang w:val="en-US" w:eastAsia="zh-CN"/>
        </w:rPr>
        <w:t>金安经济开发区管委</w:t>
      </w:r>
      <w:r>
        <w:rPr>
          <w:rFonts w:hint="eastAsia" w:ascii="仿宋_GB2312" w:hAnsi="仿宋_GB2312" w:eastAsia="仿宋_GB2312" w:cs="仿宋_GB2312"/>
          <w:color w:val="000000"/>
          <w:sz w:val="32"/>
          <w:szCs w:val="32"/>
        </w:rPr>
        <w:t>，六安市生态环境保护综合行政执法支队金安区大队，</w:t>
      </w:r>
      <w:bookmarkStart w:id="0" w:name="OLE_LINK1"/>
      <w:r>
        <w:rPr>
          <w:rFonts w:hint="eastAsia" w:ascii="仿宋_GB2312" w:hAnsi="仿宋_GB2312" w:eastAsia="仿宋_GB2312" w:cs="仿宋_GB2312"/>
          <w:color w:val="000000"/>
          <w:sz w:val="32"/>
          <w:szCs w:val="32"/>
          <w:lang w:val="en-US" w:eastAsia="zh-CN"/>
        </w:rPr>
        <w:t>金安经济开发区生态环境工作站</w:t>
      </w:r>
      <w:r>
        <w:rPr>
          <w:rFonts w:hint="eastAsia" w:ascii="仿宋_GB2312" w:hAnsi="仿宋_GB2312" w:eastAsia="仿宋_GB2312" w:cs="仿宋_GB2312"/>
          <w:color w:val="000000"/>
          <w:sz w:val="32"/>
          <w:szCs w:val="32"/>
        </w:rPr>
        <w:t>，</w:t>
      </w:r>
      <w:bookmarkEnd w:id="0"/>
      <w:r>
        <w:rPr>
          <w:rFonts w:hint="eastAsia" w:ascii="仿宋_GB2312" w:hAnsi="仿宋_GB2312" w:eastAsia="仿宋_GB2312" w:cs="仿宋_GB2312"/>
          <w:color w:val="000000"/>
          <w:sz w:val="32"/>
          <w:szCs w:val="32"/>
        </w:rPr>
        <w:t>安徽省智源环保工程有限公司</w:t>
      </w:r>
      <w:r>
        <w:rPr>
          <w:rFonts w:hint="eastAsia" w:ascii="仿宋_GB2312" w:hAnsi="仿宋_GB2312" w:eastAsia="仿宋_GB2312" w:cs="仿宋_GB2312"/>
          <w:color w:val="000000"/>
          <w:sz w:val="32"/>
          <w:szCs w:val="32"/>
          <w:lang w:eastAsia="zh-CN"/>
        </w:rPr>
        <w:t>。</w:t>
      </w:r>
    </w:p>
    <w:sectPr>
      <w:footerReference r:id="rId5" w:type="first"/>
      <w:footerReference r:id="rId3" w:type="default"/>
      <w:footerReference r:id="rId4" w:type="even"/>
      <w:pgSz w:w="11906" w:h="16838"/>
      <w:pgMar w:top="1984" w:right="1587" w:bottom="1587"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1803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48BE2">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CFA072">
                          <w:pPr>
                            <w:pStyle w:val="13"/>
                            <w:rPr>
                              <w:rStyle w:val="24"/>
                              <w:rFonts w:hint="eastAsia" w:asciiTheme="minorEastAsia" w:hAnsiTheme="minorEastAsia" w:eastAsiaTheme="minorEastAsia" w:cstheme="minorEastAsia"/>
                              <w:sz w:val="28"/>
                              <w:szCs w:val="28"/>
                              <w:lang w:eastAsia="zh-CN"/>
                            </w:rPr>
                          </w:pPr>
                          <w:r>
                            <w:rPr>
                              <w:rStyle w:val="24"/>
                              <w:rFonts w:hint="eastAsia" w:asciiTheme="minorEastAsia" w:hAnsiTheme="minorEastAsia" w:eastAsiaTheme="minorEastAsia" w:cstheme="minorEastAsia"/>
                              <w:sz w:val="28"/>
                              <w:szCs w:val="28"/>
                              <w:lang w:eastAsia="zh-CN"/>
                            </w:rPr>
                            <w:t xml:space="preserve">— </w:t>
                          </w:r>
                          <w:r>
                            <w:rPr>
                              <w:rStyle w:val="24"/>
                              <w:rFonts w:hint="eastAsia" w:asciiTheme="minorEastAsia" w:hAnsiTheme="minorEastAsia" w:eastAsiaTheme="minorEastAsia" w:cstheme="minorEastAsia"/>
                              <w:sz w:val="28"/>
                              <w:szCs w:val="28"/>
                              <w:lang w:eastAsia="zh-CN"/>
                            </w:rPr>
                            <w:fldChar w:fldCharType="begin"/>
                          </w:r>
                          <w:r>
                            <w:rPr>
                              <w:rStyle w:val="24"/>
                              <w:rFonts w:hint="eastAsia" w:asciiTheme="minorEastAsia" w:hAnsiTheme="minorEastAsia" w:eastAsiaTheme="minorEastAsia" w:cstheme="minorEastAsia"/>
                              <w:sz w:val="28"/>
                              <w:szCs w:val="28"/>
                              <w:lang w:eastAsia="zh-CN"/>
                            </w:rPr>
                            <w:instrText xml:space="preserve"> PAGE  \* MERGEFORMAT </w:instrText>
                          </w:r>
                          <w:r>
                            <w:rPr>
                              <w:rStyle w:val="24"/>
                              <w:rFonts w:hint="eastAsia" w:asciiTheme="minorEastAsia" w:hAnsiTheme="minorEastAsia" w:eastAsiaTheme="minorEastAsia" w:cstheme="minorEastAsia"/>
                              <w:sz w:val="28"/>
                              <w:szCs w:val="28"/>
                              <w:lang w:eastAsia="zh-CN"/>
                            </w:rPr>
                            <w:fldChar w:fldCharType="separate"/>
                          </w:r>
                          <w:r>
                            <w:rPr>
                              <w:rStyle w:val="24"/>
                              <w:rFonts w:hint="eastAsia" w:asciiTheme="minorEastAsia" w:hAnsiTheme="minorEastAsia" w:eastAsiaTheme="minorEastAsia" w:cstheme="minorEastAsia"/>
                              <w:sz w:val="28"/>
                              <w:szCs w:val="28"/>
                              <w:lang w:eastAsia="zh-CN"/>
                            </w:rPr>
                            <w:t>2</w:t>
                          </w:r>
                          <w:r>
                            <w:rPr>
                              <w:rStyle w:val="24"/>
                              <w:rFonts w:hint="eastAsia" w:asciiTheme="minorEastAsia" w:hAnsiTheme="minorEastAsia" w:eastAsiaTheme="minorEastAsia" w:cstheme="minorEastAsia"/>
                              <w:sz w:val="28"/>
                              <w:szCs w:val="28"/>
                              <w:lang w:eastAsia="zh-CN"/>
                            </w:rPr>
                            <w:fldChar w:fldCharType="end"/>
                          </w:r>
                          <w:r>
                            <w:rPr>
                              <w:rStyle w:val="24"/>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07CFA072">
                    <w:pPr>
                      <w:pStyle w:val="13"/>
                      <w:rPr>
                        <w:rStyle w:val="24"/>
                        <w:rFonts w:hint="eastAsia" w:asciiTheme="minorEastAsia" w:hAnsiTheme="minorEastAsia" w:eastAsiaTheme="minorEastAsia" w:cstheme="minorEastAsia"/>
                        <w:sz w:val="28"/>
                        <w:szCs w:val="28"/>
                        <w:lang w:eastAsia="zh-CN"/>
                      </w:rPr>
                    </w:pPr>
                    <w:r>
                      <w:rPr>
                        <w:rStyle w:val="24"/>
                        <w:rFonts w:hint="eastAsia" w:asciiTheme="minorEastAsia" w:hAnsiTheme="minorEastAsia" w:eastAsiaTheme="minorEastAsia" w:cstheme="minorEastAsia"/>
                        <w:sz w:val="28"/>
                        <w:szCs w:val="28"/>
                        <w:lang w:eastAsia="zh-CN"/>
                      </w:rPr>
                      <w:t xml:space="preserve">— </w:t>
                    </w:r>
                    <w:r>
                      <w:rPr>
                        <w:rStyle w:val="24"/>
                        <w:rFonts w:hint="eastAsia" w:asciiTheme="minorEastAsia" w:hAnsiTheme="minorEastAsia" w:eastAsiaTheme="minorEastAsia" w:cstheme="minorEastAsia"/>
                        <w:sz w:val="28"/>
                        <w:szCs w:val="28"/>
                        <w:lang w:eastAsia="zh-CN"/>
                      </w:rPr>
                      <w:fldChar w:fldCharType="begin"/>
                    </w:r>
                    <w:r>
                      <w:rPr>
                        <w:rStyle w:val="24"/>
                        <w:rFonts w:hint="eastAsia" w:asciiTheme="minorEastAsia" w:hAnsiTheme="minorEastAsia" w:eastAsiaTheme="minorEastAsia" w:cstheme="minorEastAsia"/>
                        <w:sz w:val="28"/>
                        <w:szCs w:val="28"/>
                        <w:lang w:eastAsia="zh-CN"/>
                      </w:rPr>
                      <w:instrText xml:space="preserve"> PAGE  \* MERGEFORMAT </w:instrText>
                    </w:r>
                    <w:r>
                      <w:rPr>
                        <w:rStyle w:val="24"/>
                        <w:rFonts w:hint="eastAsia" w:asciiTheme="minorEastAsia" w:hAnsiTheme="minorEastAsia" w:eastAsiaTheme="minorEastAsia" w:cstheme="minorEastAsia"/>
                        <w:sz w:val="28"/>
                        <w:szCs w:val="28"/>
                        <w:lang w:eastAsia="zh-CN"/>
                      </w:rPr>
                      <w:fldChar w:fldCharType="separate"/>
                    </w:r>
                    <w:r>
                      <w:rPr>
                        <w:rStyle w:val="24"/>
                        <w:rFonts w:hint="eastAsia" w:asciiTheme="minorEastAsia" w:hAnsiTheme="minorEastAsia" w:eastAsiaTheme="minorEastAsia" w:cstheme="minorEastAsia"/>
                        <w:sz w:val="28"/>
                        <w:szCs w:val="28"/>
                        <w:lang w:eastAsia="zh-CN"/>
                      </w:rPr>
                      <w:t>2</w:t>
                    </w:r>
                    <w:r>
                      <w:rPr>
                        <w:rStyle w:val="24"/>
                        <w:rFonts w:hint="eastAsia" w:asciiTheme="minorEastAsia" w:hAnsiTheme="minorEastAsia" w:eastAsiaTheme="minorEastAsia" w:cstheme="minorEastAsia"/>
                        <w:sz w:val="28"/>
                        <w:szCs w:val="28"/>
                        <w:lang w:eastAsia="zh-CN"/>
                      </w:rPr>
                      <w:fldChar w:fldCharType="end"/>
                    </w:r>
                    <w:r>
                      <w:rPr>
                        <w:rStyle w:val="24"/>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A3ED6">
    <w:pPr>
      <w:pStyle w:val="13"/>
      <w:framePr w:wrap="around" w:vAnchor="text" w:hAnchor="margin" w:xAlign="center" w:y="1"/>
      <w:rPr>
        <w:rStyle w:val="24"/>
      </w:rPr>
    </w:pPr>
    <w:r>
      <w:fldChar w:fldCharType="begin"/>
    </w:r>
    <w:r>
      <w:rPr>
        <w:rStyle w:val="24"/>
      </w:rPr>
      <w:instrText xml:space="preserve">PAGE  </w:instrText>
    </w:r>
    <w:r>
      <w:fldChar w:fldCharType="end"/>
    </w:r>
  </w:p>
  <w:p w14:paraId="2BD1571C">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9A135">
    <w:pPr>
      <w:pStyle w:val="13"/>
    </w:pPr>
    <w:r>
      <mc:AlternateContent>
        <mc:Choice Requires="wps">
          <w:drawing>
            <wp:anchor distT="0" distB="0" distL="114300" distR="114300" simplePos="0" relativeHeight="251660288" behindDoc="0" locked="0" layoutInCell="1" allowOverlap="1">
              <wp:simplePos x="0" y="0"/>
              <wp:positionH relativeFrom="margin">
                <wp:posOffset>5135245</wp:posOffset>
              </wp:positionH>
              <wp:positionV relativeFrom="paragraph">
                <wp:posOffset>9525</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7F88FC">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left:404.35pt;margin-top:0.75pt;height:144pt;width:144pt;mso-position-horizontal-relative:margin;mso-wrap-style:none;z-index:251660288;mso-width-relative:page;mso-height-relative:page;" filled="f" stroked="f" coordsize="21600,21600" o:gfxdata="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BfG9zVAAAACgEAAA8AAAAAAAAAAQAgAAAAIgAAAGRycy9kb3du&#10;cmV2LnhtbFBLAQIUABQAAAAIAIdO4kAFKsO7yQEAAJkDAAAOAAAAAAAAAAEAIAAAACQBAABkcnMv&#10;ZTJvRG9jLnhtbFBLBQYAAAAABgAGAFkBAABfBQAAAAA=&#10;">
              <v:fill on="f" focussize="0,0"/>
              <v:stroke on="f"/>
              <v:imagedata o:title=""/>
              <o:lock v:ext="edit" aspectratio="f"/>
              <v:textbox inset="0mm,0mm,0mm,0mm" style="mso-fit-shape-to-text:t;">
                <w:txbxContent>
                  <w:p w14:paraId="617F88FC">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90A55"/>
    <w:multiLevelType w:val="multilevel"/>
    <w:tmpl w:val="24690A55"/>
    <w:lvl w:ilvl="0" w:tentative="0">
      <w:start w:val="1"/>
      <w:numFmt w:val="upperRoman"/>
      <w:lvlText w:val="%1."/>
      <w:lvlJc w:val="left"/>
      <w:pPr>
        <w:tabs>
          <w:tab w:val="left" w:pos="425"/>
        </w:tabs>
        <w:ind w:left="0" w:firstLine="0"/>
      </w:pPr>
    </w:lvl>
    <w:lvl w:ilvl="1" w:tentative="0">
      <w:start w:val="1"/>
      <w:numFmt w:val="upperLetter"/>
      <w:pStyle w:val="3"/>
      <w:lvlText w:val="%2."/>
      <w:lvlJc w:val="left"/>
      <w:pPr>
        <w:tabs>
          <w:tab w:val="left" w:pos="1276"/>
        </w:tabs>
        <w:ind w:left="851" w:firstLine="0"/>
      </w:pPr>
    </w:lvl>
    <w:lvl w:ilvl="2" w:tentative="0">
      <w:start w:val="1"/>
      <w:numFmt w:val="decimal"/>
      <w:lvlText w:val="%3."/>
      <w:lvlJc w:val="left"/>
      <w:pPr>
        <w:tabs>
          <w:tab w:val="left" w:pos="2126"/>
        </w:tabs>
        <w:ind w:left="1701" w:firstLine="0"/>
      </w:pPr>
    </w:lvl>
    <w:lvl w:ilvl="3" w:tentative="0">
      <w:start w:val="1"/>
      <w:numFmt w:val="lowerLetter"/>
      <w:lvlText w:val="%4)"/>
      <w:lvlJc w:val="left"/>
      <w:pPr>
        <w:tabs>
          <w:tab w:val="left" w:pos="2976"/>
        </w:tabs>
        <w:ind w:left="2551" w:firstLine="0"/>
      </w:pPr>
    </w:lvl>
    <w:lvl w:ilvl="4" w:tentative="0">
      <w:start w:val="1"/>
      <w:numFmt w:val="decimal"/>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WIyODc0NzY4ZGRmMzE1YzExMDkyZGUwMzJlMmMifQ=="/>
    <w:docVar w:name="KGWebUrl" w:val="http://220.180.2.131:8004/officeserverservlet?moduleCode=govFile"/>
    <w:docVar w:name="KSO_WPS_MARK_KEY" w:val="11e83642-8a2b-405e-b5ab-ea4c1475f0bf"/>
  </w:docVars>
  <w:rsids>
    <w:rsidRoot w:val="00A66A85"/>
    <w:rsid w:val="0000772A"/>
    <w:rsid w:val="00010E76"/>
    <w:rsid w:val="00052EC3"/>
    <w:rsid w:val="000531CD"/>
    <w:rsid w:val="00054C23"/>
    <w:rsid w:val="00061F7C"/>
    <w:rsid w:val="000674DE"/>
    <w:rsid w:val="0007763D"/>
    <w:rsid w:val="000804FA"/>
    <w:rsid w:val="000843F2"/>
    <w:rsid w:val="000922FA"/>
    <w:rsid w:val="000C0AB9"/>
    <w:rsid w:val="000C4FAB"/>
    <w:rsid w:val="000C5AF2"/>
    <w:rsid w:val="00113556"/>
    <w:rsid w:val="00116986"/>
    <w:rsid w:val="001218CB"/>
    <w:rsid w:val="00143B17"/>
    <w:rsid w:val="00151FEA"/>
    <w:rsid w:val="00153302"/>
    <w:rsid w:val="001829E7"/>
    <w:rsid w:val="00195908"/>
    <w:rsid w:val="001B0B8D"/>
    <w:rsid w:val="001C0C16"/>
    <w:rsid w:val="001C0FAE"/>
    <w:rsid w:val="001C7DF5"/>
    <w:rsid w:val="001E24E9"/>
    <w:rsid w:val="001E6931"/>
    <w:rsid w:val="00200700"/>
    <w:rsid w:val="00213066"/>
    <w:rsid w:val="002308FE"/>
    <w:rsid w:val="0024545E"/>
    <w:rsid w:val="00245D37"/>
    <w:rsid w:val="00256323"/>
    <w:rsid w:val="00272C7D"/>
    <w:rsid w:val="00276858"/>
    <w:rsid w:val="00292878"/>
    <w:rsid w:val="00293BCB"/>
    <w:rsid w:val="002A594F"/>
    <w:rsid w:val="002A6958"/>
    <w:rsid w:val="002D000F"/>
    <w:rsid w:val="002E0083"/>
    <w:rsid w:val="002E1B81"/>
    <w:rsid w:val="002E6B0F"/>
    <w:rsid w:val="002F1F86"/>
    <w:rsid w:val="0031407E"/>
    <w:rsid w:val="0033354E"/>
    <w:rsid w:val="00343CAD"/>
    <w:rsid w:val="003743B1"/>
    <w:rsid w:val="003B5388"/>
    <w:rsid w:val="003B5BDC"/>
    <w:rsid w:val="003E5775"/>
    <w:rsid w:val="003E5E18"/>
    <w:rsid w:val="003E78C2"/>
    <w:rsid w:val="003F6288"/>
    <w:rsid w:val="00402609"/>
    <w:rsid w:val="004029B1"/>
    <w:rsid w:val="00405BE8"/>
    <w:rsid w:val="00410A7A"/>
    <w:rsid w:val="004117A8"/>
    <w:rsid w:val="0043166C"/>
    <w:rsid w:val="00431A52"/>
    <w:rsid w:val="004401B4"/>
    <w:rsid w:val="004449E9"/>
    <w:rsid w:val="004514C5"/>
    <w:rsid w:val="00453205"/>
    <w:rsid w:val="00466950"/>
    <w:rsid w:val="0047086F"/>
    <w:rsid w:val="00486BBB"/>
    <w:rsid w:val="00487EC6"/>
    <w:rsid w:val="004A0C8E"/>
    <w:rsid w:val="004C7622"/>
    <w:rsid w:val="004E742B"/>
    <w:rsid w:val="004F1406"/>
    <w:rsid w:val="004F4D2A"/>
    <w:rsid w:val="004F6821"/>
    <w:rsid w:val="005005DF"/>
    <w:rsid w:val="005422A1"/>
    <w:rsid w:val="00544C92"/>
    <w:rsid w:val="00552592"/>
    <w:rsid w:val="00557B1B"/>
    <w:rsid w:val="00564DBC"/>
    <w:rsid w:val="00581493"/>
    <w:rsid w:val="00584F4C"/>
    <w:rsid w:val="005900BA"/>
    <w:rsid w:val="005919BF"/>
    <w:rsid w:val="00592E36"/>
    <w:rsid w:val="00593C5D"/>
    <w:rsid w:val="005C4AAB"/>
    <w:rsid w:val="005D1FE4"/>
    <w:rsid w:val="005D502B"/>
    <w:rsid w:val="005E1222"/>
    <w:rsid w:val="005F327C"/>
    <w:rsid w:val="006014B0"/>
    <w:rsid w:val="006025EC"/>
    <w:rsid w:val="0061009F"/>
    <w:rsid w:val="006215E7"/>
    <w:rsid w:val="00653DBE"/>
    <w:rsid w:val="00674327"/>
    <w:rsid w:val="006937BC"/>
    <w:rsid w:val="006B0DE9"/>
    <w:rsid w:val="006B5A25"/>
    <w:rsid w:val="006D6B1D"/>
    <w:rsid w:val="007021E7"/>
    <w:rsid w:val="00706CAF"/>
    <w:rsid w:val="007236B6"/>
    <w:rsid w:val="00726859"/>
    <w:rsid w:val="00737B94"/>
    <w:rsid w:val="00740905"/>
    <w:rsid w:val="0078100B"/>
    <w:rsid w:val="007A3B9F"/>
    <w:rsid w:val="007A4B59"/>
    <w:rsid w:val="007A76A2"/>
    <w:rsid w:val="007B6520"/>
    <w:rsid w:val="007C61FD"/>
    <w:rsid w:val="007D1B84"/>
    <w:rsid w:val="007E68E2"/>
    <w:rsid w:val="007F0025"/>
    <w:rsid w:val="007F05ED"/>
    <w:rsid w:val="007F19B7"/>
    <w:rsid w:val="00802FA7"/>
    <w:rsid w:val="0084748D"/>
    <w:rsid w:val="008519C8"/>
    <w:rsid w:val="00857C29"/>
    <w:rsid w:val="008865D3"/>
    <w:rsid w:val="0089493F"/>
    <w:rsid w:val="008A7752"/>
    <w:rsid w:val="008B04F5"/>
    <w:rsid w:val="008B6780"/>
    <w:rsid w:val="008C7B13"/>
    <w:rsid w:val="008E172C"/>
    <w:rsid w:val="008E5B56"/>
    <w:rsid w:val="00900353"/>
    <w:rsid w:val="00906E90"/>
    <w:rsid w:val="009217D9"/>
    <w:rsid w:val="009274FE"/>
    <w:rsid w:val="0093170D"/>
    <w:rsid w:val="00941A02"/>
    <w:rsid w:val="009458D6"/>
    <w:rsid w:val="00947E2C"/>
    <w:rsid w:val="00950D40"/>
    <w:rsid w:val="00956EDB"/>
    <w:rsid w:val="00966CD4"/>
    <w:rsid w:val="00967C9C"/>
    <w:rsid w:val="00973EC7"/>
    <w:rsid w:val="00977F82"/>
    <w:rsid w:val="00995230"/>
    <w:rsid w:val="00996D51"/>
    <w:rsid w:val="009B2AFB"/>
    <w:rsid w:val="009B42C1"/>
    <w:rsid w:val="009B573D"/>
    <w:rsid w:val="009C2D7E"/>
    <w:rsid w:val="009C7516"/>
    <w:rsid w:val="009D34F8"/>
    <w:rsid w:val="009E3230"/>
    <w:rsid w:val="00A12327"/>
    <w:rsid w:val="00A20D12"/>
    <w:rsid w:val="00A30024"/>
    <w:rsid w:val="00A405F8"/>
    <w:rsid w:val="00A42363"/>
    <w:rsid w:val="00A42504"/>
    <w:rsid w:val="00A52D61"/>
    <w:rsid w:val="00A53C70"/>
    <w:rsid w:val="00A604E3"/>
    <w:rsid w:val="00A66A85"/>
    <w:rsid w:val="00A75AAE"/>
    <w:rsid w:val="00A805BE"/>
    <w:rsid w:val="00A81BFE"/>
    <w:rsid w:val="00A82042"/>
    <w:rsid w:val="00A92397"/>
    <w:rsid w:val="00AA6D21"/>
    <w:rsid w:val="00AB2FD8"/>
    <w:rsid w:val="00AB3884"/>
    <w:rsid w:val="00AC0AF2"/>
    <w:rsid w:val="00AC60D2"/>
    <w:rsid w:val="00AD1229"/>
    <w:rsid w:val="00AD2436"/>
    <w:rsid w:val="00AE7B57"/>
    <w:rsid w:val="00AF2058"/>
    <w:rsid w:val="00B009BF"/>
    <w:rsid w:val="00B22ED6"/>
    <w:rsid w:val="00B35B36"/>
    <w:rsid w:val="00B53C6F"/>
    <w:rsid w:val="00B67F34"/>
    <w:rsid w:val="00B70C11"/>
    <w:rsid w:val="00B73883"/>
    <w:rsid w:val="00B73D3F"/>
    <w:rsid w:val="00B9480D"/>
    <w:rsid w:val="00B976B2"/>
    <w:rsid w:val="00BB112D"/>
    <w:rsid w:val="00BB4A09"/>
    <w:rsid w:val="00BD5187"/>
    <w:rsid w:val="00BE18F0"/>
    <w:rsid w:val="00BE6860"/>
    <w:rsid w:val="00BF5D3A"/>
    <w:rsid w:val="00C07726"/>
    <w:rsid w:val="00C357F3"/>
    <w:rsid w:val="00C411D9"/>
    <w:rsid w:val="00C44193"/>
    <w:rsid w:val="00C45E48"/>
    <w:rsid w:val="00C50541"/>
    <w:rsid w:val="00C542F6"/>
    <w:rsid w:val="00C66FD0"/>
    <w:rsid w:val="00C70E21"/>
    <w:rsid w:val="00C7667F"/>
    <w:rsid w:val="00C81A8A"/>
    <w:rsid w:val="00C97DA4"/>
    <w:rsid w:val="00CA4BD1"/>
    <w:rsid w:val="00CB534D"/>
    <w:rsid w:val="00CB6419"/>
    <w:rsid w:val="00CC1937"/>
    <w:rsid w:val="00CC1E51"/>
    <w:rsid w:val="00CC57F2"/>
    <w:rsid w:val="00CD0943"/>
    <w:rsid w:val="00CD5833"/>
    <w:rsid w:val="00D07B39"/>
    <w:rsid w:val="00D13B06"/>
    <w:rsid w:val="00D30879"/>
    <w:rsid w:val="00D43670"/>
    <w:rsid w:val="00D55C98"/>
    <w:rsid w:val="00D57D2F"/>
    <w:rsid w:val="00D60E3C"/>
    <w:rsid w:val="00D63A18"/>
    <w:rsid w:val="00D74E0C"/>
    <w:rsid w:val="00D7611C"/>
    <w:rsid w:val="00DB07BF"/>
    <w:rsid w:val="00DD649C"/>
    <w:rsid w:val="00DF213B"/>
    <w:rsid w:val="00DF2906"/>
    <w:rsid w:val="00DF47FA"/>
    <w:rsid w:val="00E03B80"/>
    <w:rsid w:val="00E05B32"/>
    <w:rsid w:val="00E07F06"/>
    <w:rsid w:val="00E128EB"/>
    <w:rsid w:val="00E2490B"/>
    <w:rsid w:val="00E311F2"/>
    <w:rsid w:val="00E41BCB"/>
    <w:rsid w:val="00E43F16"/>
    <w:rsid w:val="00E51390"/>
    <w:rsid w:val="00E51A7E"/>
    <w:rsid w:val="00E628C6"/>
    <w:rsid w:val="00E740D1"/>
    <w:rsid w:val="00E903D8"/>
    <w:rsid w:val="00EB2F67"/>
    <w:rsid w:val="00EB7A1E"/>
    <w:rsid w:val="00EC1EFE"/>
    <w:rsid w:val="00EC4CB1"/>
    <w:rsid w:val="00ED3B19"/>
    <w:rsid w:val="00F14941"/>
    <w:rsid w:val="00F2167F"/>
    <w:rsid w:val="00F26B1A"/>
    <w:rsid w:val="00F2777F"/>
    <w:rsid w:val="00F27DBA"/>
    <w:rsid w:val="00F312E6"/>
    <w:rsid w:val="00F31C93"/>
    <w:rsid w:val="00F340B9"/>
    <w:rsid w:val="00F57C1A"/>
    <w:rsid w:val="00F65707"/>
    <w:rsid w:val="00F70040"/>
    <w:rsid w:val="00F818E2"/>
    <w:rsid w:val="00F83AE4"/>
    <w:rsid w:val="00F93908"/>
    <w:rsid w:val="00F94051"/>
    <w:rsid w:val="00FA35EC"/>
    <w:rsid w:val="00FA7E23"/>
    <w:rsid w:val="00FC0F24"/>
    <w:rsid w:val="00FC128A"/>
    <w:rsid w:val="00FD59D3"/>
    <w:rsid w:val="00FE59A2"/>
    <w:rsid w:val="015F5D3E"/>
    <w:rsid w:val="018D1B6E"/>
    <w:rsid w:val="029B611E"/>
    <w:rsid w:val="04681279"/>
    <w:rsid w:val="048541FF"/>
    <w:rsid w:val="050622F0"/>
    <w:rsid w:val="05500BD9"/>
    <w:rsid w:val="06E81157"/>
    <w:rsid w:val="06ED11EE"/>
    <w:rsid w:val="074E7170"/>
    <w:rsid w:val="0761763D"/>
    <w:rsid w:val="07B95C94"/>
    <w:rsid w:val="08435AC4"/>
    <w:rsid w:val="08AC2521"/>
    <w:rsid w:val="08C77960"/>
    <w:rsid w:val="091F62B9"/>
    <w:rsid w:val="09551522"/>
    <w:rsid w:val="0A423BD1"/>
    <w:rsid w:val="0A6D74EE"/>
    <w:rsid w:val="0B025B5F"/>
    <w:rsid w:val="0B352404"/>
    <w:rsid w:val="0BC37DFA"/>
    <w:rsid w:val="0C6E70B6"/>
    <w:rsid w:val="0CFB5286"/>
    <w:rsid w:val="0D437A43"/>
    <w:rsid w:val="0D7C6E61"/>
    <w:rsid w:val="0D9929F5"/>
    <w:rsid w:val="0DA63ABF"/>
    <w:rsid w:val="0E2A6AC3"/>
    <w:rsid w:val="0E3D130B"/>
    <w:rsid w:val="0F0A2307"/>
    <w:rsid w:val="0F2A5393"/>
    <w:rsid w:val="0FC35039"/>
    <w:rsid w:val="109D7D11"/>
    <w:rsid w:val="10EA3DF0"/>
    <w:rsid w:val="12544664"/>
    <w:rsid w:val="12C865C8"/>
    <w:rsid w:val="13334BF0"/>
    <w:rsid w:val="137A246C"/>
    <w:rsid w:val="161C4BA6"/>
    <w:rsid w:val="16480C82"/>
    <w:rsid w:val="16AC0098"/>
    <w:rsid w:val="16F156FA"/>
    <w:rsid w:val="16F62510"/>
    <w:rsid w:val="17A20290"/>
    <w:rsid w:val="17DF5A23"/>
    <w:rsid w:val="18090001"/>
    <w:rsid w:val="188241BE"/>
    <w:rsid w:val="18DA72FB"/>
    <w:rsid w:val="18DC7461"/>
    <w:rsid w:val="18E0618B"/>
    <w:rsid w:val="1A367855"/>
    <w:rsid w:val="1A3E4302"/>
    <w:rsid w:val="1A7127CE"/>
    <w:rsid w:val="1AE35208"/>
    <w:rsid w:val="1B133624"/>
    <w:rsid w:val="1BC665A4"/>
    <w:rsid w:val="1C37165D"/>
    <w:rsid w:val="1CF67320"/>
    <w:rsid w:val="1D594123"/>
    <w:rsid w:val="1E5713D5"/>
    <w:rsid w:val="1E690E1B"/>
    <w:rsid w:val="1E9F5D30"/>
    <w:rsid w:val="1EE529A3"/>
    <w:rsid w:val="20A115A4"/>
    <w:rsid w:val="20E50252"/>
    <w:rsid w:val="21607C3C"/>
    <w:rsid w:val="21A1763C"/>
    <w:rsid w:val="22066EA3"/>
    <w:rsid w:val="22221BDA"/>
    <w:rsid w:val="22DF79F5"/>
    <w:rsid w:val="23537624"/>
    <w:rsid w:val="23FF2A54"/>
    <w:rsid w:val="247568FA"/>
    <w:rsid w:val="250A7922"/>
    <w:rsid w:val="258A17E3"/>
    <w:rsid w:val="25CD2EDC"/>
    <w:rsid w:val="26870139"/>
    <w:rsid w:val="26BE00E6"/>
    <w:rsid w:val="271F7C60"/>
    <w:rsid w:val="276758E8"/>
    <w:rsid w:val="27695841"/>
    <w:rsid w:val="27D612A2"/>
    <w:rsid w:val="281161DE"/>
    <w:rsid w:val="28234920"/>
    <w:rsid w:val="285318EC"/>
    <w:rsid w:val="28E53D50"/>
    <w:rsid w:val="29055A79"/>
    <w:rsid w:val="291E2C7B"/>
    <w:rsid w:val="2978758B"/>
    <w:rsid w:val="29ED36E5"/>
    <w:rsid w:val="2A6569E7"/>
    <w:rsid w:val="2AF53301"/>
    <w:rsid w:val="2AFD4792"/>
    <w:rsid w:val="2B031916"/>
    <w:rsid w:val="2C621808"/>
    <w:rsid w:val="2D183E04"/>
    <w:rsid w:val="2D7E6E28"/>
    <w:rsid w:val="2E0126CF"/>
    <w:rsid w:val="2E574A9D"/>
    <w:rsid w:val="2EA05230"/>
    <w:rsid w:val="2ED322C7"/>
    <w:rsid w:val="2F5147C6"/>
    <w:rsid w:val="2F902E0D"/>
    <w:rsid w:val="2FA57963"/>
    <w:rsid w:val="2FF677A6"/>
    <w:rsid w:val="31C94901"/>
    <w:rsid w:val="31E040C5"/>
    <w:rsid w:val="3203745C"/>
    <w:rsid w:val="322761F0"/>
    <w:rsid w:val="32534E66"/>
    <w:rsid w:val="32966A4D"/>
    <w:rsid w:val="32CA57E9"/>
    <w:rsid w:val="33276E2A"/>
    <w:rsid w:val="334E3DD8"/>
    <w:rsid w:val="335E7F22"/>
    <w:rsid w:val="33DE475C"/>
    <w:rsid w:val="347F0547"/>
    <w:rsid w:val="348B4844"/>
    <w:rsid w:val="356C6DE6"/>
    <w:rsid w:val="36120A46"/>
    <w:rsid w:val="36FC2ECF"/>
    <w:rsid w:val="37C51570"/>
    <w:rsid w:val="37DF3A79"/>
    <w:rsid w:val="39C12B5F"/>
    <w:rsid w:val="39D71268"/>
    <w:rsid w:val="3A1B13A1"/>
    <w:rsid w:val="3B88423E"/>
    <w:rsid w:val="3BDF606C"/>
    <w:rsid w:val="3BFC4B23"/>
    <w:rsid w:val="3CAD43A2"/>
    <w:rsid w:val="3CE11384"/>
    <w:rsid w:val="3D1231E2"/>
    <w:rsid w:val="3D1A61A8"/>
    <w:rsid w:val="3D6F0EF6"/>
    <w:rsid w:val="3EAA3EDF"/>
    <w:rsid w:val="3FC36883"/>
    <w:rsid w:val="40123579"/>
    <w:rsid w:val="40C61D12"/>
    <w:rsid w:val="40EB24C0"/>
    <w:rsid w:val="411E1638"/>
    <w:rsid w:val="41326E0A"/>
    <w:rsid w:val="414A48C7"/>
    <w:rsid w:val="43844123"/>
    <w:rsid w:val="43A31CF7"/>
    <w:rsid w:val="441874ED"/>
    <w:rsid w:val="44560803"/>
    <w:rsid w:val="446F1DEF"/>
    <w:rsid w:val="44DA702B"/>
    <w:rsid w:val="44E93ED8"/>
    <w:rsid w:val="466200BB"/>
    <w:rsid w:val="47042977"/>
    <w:rsid w:val="471A6804"/>
    <w:rsid w:val="47C56B6B"/>
    <w:rsid w:val="480C1BEF"/>
    <w:rsid w:val="495F2135"/>
    <w:rsid w:val="498062BE"/>
    <w:rsid w:val="4A6332F9"/>
    <w:rsid w:val="4AAE7073"/>
    <w:rsid w:val="4AE30754"/>
    <w:rsid w:val="4C254AB6"/>
    <w:rsid w:val="4CEA5592"/>
    <w:rsid w:val="4DED7523"/>
    <w:rsid w:val="4E5B77BE"/>
    <w:rsid w:val="4E967E90"/>
    <w:rsid w:val="4EEE770C"/>
    <w:rsid w:val="4F1A6826"/>
    <w:rsid w:val="4FDC34E3"/>
    <w:rsid w:val="51D02824"/>
    <w:rsid w:val="52265417"/>
    <w:rsid w:val="527156F4"/>
    <w:rsid w:val="52A5460E"/>
    <w:rsid w:val="52B66194"/>
    <w:rsid w:val="52FF5888"/>
    <w:rsid w:val="535B6B1F"/>
    <w:rsid w:val="536D30D2"/>
    <w:rsid w:val="538E4A94"/>
    <w:rsid w:val="53C86CA6"/>
    <w:rsid w:val="53D864B4"/>
    <w:rsid w:val="55016716"/>
    <w:rsid w:val="551838E3"/>
    <w:rsid w:val="556866F6"/>
    <w:rsid w:val="57A764D5"/>
    <w:rsid w:val="58267074"/>
    <w:rsid w:val="583A23D4"/>
    <w:rsid w:val="599115F6"/>
    <w:rsid w:val="59B37F60"/>
    <w:rsid w:val="59C12A94"/>
    <w:rsid w:val="5A112508"/>
    <w:rsid w:val="5A2967B8"/>
    <w:rsid w:val="5A3711F6"/>
    <w:rsid w:val="5A4249D8"/>
    <w:rsid w:val="5A6A63DA"/>
    <w:rsid w:val="5A86654F"/>
    <w:rsid w:val="5A8A6CE1"/>
    <w:rsid w:val="5AA70426"/>
    <w:rsid w:val="5B0B4201"/>
    <w:rsid w:val="5B60526F"/>
    <w:rsid w:val="5B6E1345"/>
    <w:rsid w:val="5C063C5C"/>
    <w:rsid w:val="5C45703E"/>
    <w:rsid w:val="5D392DC1"/>
    <w:rsid w:val="5F3013C0"/>
    <w:rsid w:val="5F926033"/>
    <w:rsid w:val="5FB73BEF"/>
    <w:rsid w:val="604C78B6"/>
    <w:rsid w:val="60F975CE"/>
    <w:rsid w:val="613554FC"/>
    <w:rsid w:val="616D04BB"/>
    <w:rsid w:val="637508FC"/>
    <w:rsid w:val="63844BD8"/>
    <w:rsid w:val="63FD01CA"/>
    <w:rsid w:val="64D26214"/>
    <w:rsid w:val="655C2101"/>
    <w:rsid w:val="65DB74A3"/>
    <w:rsid w:val="660F6EF4"/>
    <w:rsid w:val="66A07C48"/>
    <w:rsid w:val="66B56FFF"/>
    <w:rsid w:val="66FD73C2"/>
    <w:rsid w:val="67AC02D6"/>
    <w:rsid w:val="67D36B5E"/>
    <w:rsid w:val="67F90CE1"/>
    <w:rsid w:val="682E7885"/>
    <w:rsid w:val="686646E0"/>
    <w:rsid w:val="69B407D0"/>
    <w:rsid w:val="6B024205"/>
    <w:rsid w:val="6C0E513D"/>
    <w:rsid w:val="6CBA3870"/>
    <w:rsid w:val="6CC856FE"/>
    <w:rsid w:val="6D4259B8"/>
    <w:rsid w:val="6DB729D0"/>
    <w:rsid w:val="6EEA70F3"/>
    <w:rsid w:val="6F8D3143"/>
    <w:rsid w:val="6FA37C38"/>
    <w:rsid w:val="6FDA6104"/>
    <w:rsid w:val="70435C6B"/>
    <w:rsid w:val="706E5B73"/>
    <w:rsid w:val="726E11B1"/>
    <w:rsid w:val="72904BF5"/>
    <w:rsid w:val="72DE5130"/>
    <w:rsid w:val="733028FA"/>
    <w:rsid w:val="736E02F6"/>
    <w:rsid w:val="748726BB"/>
    <w:rsid w:val="748B171D"/>
    <w:rsid w:val="74981B60"/>
    <w:rsid w:val="74CE0DE0"/>
    <w:rsid w:val="74EA0572"/>
    <w:rsid w:val="759F0541"/>
    <w:rsid w:val="75B668A4"/>
    <w:rsid w:val="761913AD"/>
    <w:rsid w:val="763E6E84"/>
    <w:rsid w:val="770603A5"/>
    <w:rsid w:val="77504732"/>
    <w:rsid w:val="775C4726"/>
    <w:rsid w:val="77DF256D"/>
    <w:rsid w:val="78727F08"/>
    <w:rsid w:val="79643CDC"/>
    <w:rsid w:val="7A236B57"/>
    <w:rsid w:val="7A2B0A99"/>
    <w:rsid w:val="7A7B6646"/>
    <w:rsid w:val="7A8259A5"/>
    <w:rsid w:val="7A99117F"/>
    <w:rsid w:val="7ACB5ED9"/>
    <w:rsid w:val="7BB71A00"/>
    <w:rsid w:val="7BD74612"/>
    <w:rsid w:val="7C515CA6"/>
    <w:rsid w:val="7CA7655F"/>
    <w:rsid w:val="7CEA2B6D"/>
    <w:rsid w:val="7D272CE3"/>
    <w:rsid w:val="7DBB697A"/>
    <w:rsid w:val="7E031A44"/>
    <w:rsid w:val="7E44065E"/>
    <w:rsid w:val="7E456802"/>
    <w:rsid w:val="7EDE18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numPr>
        <w:ilvl w:val="1"/>
        <w:numId w:val="1"/>
      </w:numPr>
      <w:adjustRightInd w:val="0"/>
      <w:spacing w:before="100" w:after="100" w:line="360" w:lineRule="auto"/>
      <w:jc w:val="left"/>
      <w:textAlignment w:val="baseline"/>
      <w:outlineLvl w:val="1"/>
    </w:pPr>
    <w:rPr>
      <w:rFonts w:ascii="Arial" w:hAnsi="Arial" w:eastAsia="黑体"/>
      <w:b/>
      <w:sz w:val="28"/>
      <w:szCs w:val="20"/>
    </w:rPr>
  </w:style>
  <w:style w:type="paragraph" w:styleId="4">
    <w:name w:val="heading 3"/>
    <w:basedOn w:val="1"/>
    <w:next w:val="1"/>
    <w:qFormat/>
    <w:uiPriority w:val="0"/>
    <w:pPr>
      <w:jc w:val="left"/>
      <w:outlineLvl w:val="2"/>
    </w:pPr>
    <w:rPr>
      <w:sz w:val="24"/>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Salutation"/>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Body Text"/>
    <w:basedOn w:val="1"/>
    <w:next w:val="6"/>
    <w:qFormat/>
    <w:uiPriority w:val="0"/>
    <w:pPr>
      <w:spacing w:after="120"/>
    </w:pPr>
  </w:style>
  <w:style w:type="paragraph" w:styleId="8">
    <w:name w:val="Body Text Indent"/>
    <w:basedOn w:val="1"/>
    <w:next w:val="9"/>
    <w:qFormat/>
    <w:uiPriority w:val="0"/>
    <w:pPr>
      <w:autoSpaceDE w:val="0"/>
      <w:autoSpaceDN w:val="0"/>
      <w:adjustRightInd w:val="0"/>
      <w:spacing w:line="360" w:lineRule="auto"/>
      <w:ind w:firstLine="480" w:firstLineChars="200"/>
    </w:pPr>
    <w:rPr>
      <w:rFonts w:ascii="宋体" w:hAnsi="宋体"/>
      <w:kern w:val="0"/>
      <w:sz w:val="24"/>
      <w:szCs w:val="21"/>
    </w:rPr>
  </w:style>
  <w:style w:type="paragraph" w:customStyle="1" w:styleId="9">
    <w:name w:val="样式 正文文本缩进 + 行距: 1.5 倍行距"/>
    <w:basedOn w:val="1"/>
    <w:qFormat/>
    <w:uiPriority w:val="0"/>
    <w:pPr>
      <w:spacing w:after="120" w:line="360" w:lineRule="auto"/>
      <w:ind w:left="90" w:leftChars="32" w:firstLine="560" w:firstLineChars="200"/>
    </w:pPr>
    <w:rPr>
      <w:rFonts w:cs="宋体"/>
    </w:rPr>
  </w:style>
  <w:style w:type="paragraph" w:styleId="10">
    <w:name w:val="Body Text Indent 2"/>
    <w:basedOn w:val="1"/>
    <w:next w:val="11"/>
    <w:qFormat/>
    <w:uiPriority w:val="0"/>
    <w:pPr>
      <w:spacing w:line="500" w:lineRule="exact"/>
      <w:ind w:firstLine="573"/>
    </w:pPr>
    <w:rPr>
      <w:sz w:val="28"/>
    </w:rPr>
  </w:style>
  <w:style w:type="paragraph" w:styleId="11">
    <w:name w:val="Body Text First Indent 2"/>
    <w:basedOn w:val="8"/>
    <w:next w:val="1"/>
    <w:qFormat/>
    <w:uiPriority w:val="0"/>
    <w:pPr>
      <w:spacing w:after="120" w:line="240" w:lineRule="auto"/>
      <w:ind w:left="420" w:leftChars="200" w:firstLine="420"/>
    </w:pPr>
    <w:rPr>
      <w:rFonts w:ascii="Calibri" w:hAnsi="Calibri"/>
      <w:sz w:val="21"/>
      <w:szCs w:val="22"/>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index heading"/>
    <w:basedOn w:val="1"/>
    <w:next w:val="16"/>
    <w:qFormat/>
    <w:uiPriority w:val="0"/>
    <w:rPr>
      <w:szCs w:val="20"/>
    </w:rPr>
  </w:style>
  <w:style w:type="paragraph" w:styleId="16">
    <w:name w:val="index 1"/>
    <w:basedOn w:val="1"/>
    <w:next w:val="1"/>
    <w:qFormat/>
    <w:uiPriority w:val="0"/>
    <w:pPr>
      <w:jc w:val="center"/>
    </w:pPr>
    <w:rPr>
      <w:szCs w:val="20"/>
    </w:rPr>
  </w:style>
  <w:style w:type="paragraph" w:styleId="17">
    <w:name w:val="toc 9"/>
    <w:next w:val="1"/>
    <w:qFormat/>
    <w:uiPriority w:val="0"/>
    <w:pPr>
      <w:widowControl w:val="0"/>
      <w:wordWrap w:val="0"/>
      <w:ind w:left="2975"/>
      <w:jc w:val="both"/>
    </w:pPr>
    <w:rPr>
      <w:rFonts w:ascii="Times New Roman" w:hAnsi="Times New Roman" w:eastAsia="宋体" w:cs="Times New Roman"/>
      <w:kern w:val="2"/>
      <w:sz w:val="21"/>
      <w:szCs w:val="22"/>
      <w:lang w:val="en-US" w:eastAsia="zh-CN" w:bidi="ar-SA"/>
    </w:rPr>
  </w:style>
  <w:style w:type="paragraph" w:styleId="18">
    <w:name w:val="Body Text 2"/>
    <w:basedOn w:val="1"/>
    <w:qFormat/>
    <w:uiPriority w:val="0"/>
    <w:pPr>
      <w:spacing w:after="120" w:line="480" w:lineRule="auto"/>
    </w:pPr>
  </w:style>
  <w:style w:type="paragraph" w:styleId="19">
    <w:name w:val="Body Text First Indent"/>
    <w:qFormat/>
    <w:uiPriority w:val="0"/>
    <w:pPr>
      <w:widowControl w:val="0"/>
      <w:spacing w:after="120"/>
      <w:ind w:firstLine="420" w:firstLineChars="100"/>
      <w:jc w:val="both"/>
    </w:pPr>
    <w:rPr>
      <w:rFonts w:ascii="Times New Roman" w:hAnsi="Times New Roman" w:eastAsia="宋体" w:cs="Times New Roman"/>
      <w:kern w:val="2"/>
      <w:sz w:val="21"/>
      <w:lang w:val="en-US" w:eastAsia="zh-CN" w:bidi="ar-SA"/>
    </w:rPr>
  </w:style>
  <w:style w:type="table" w:styleId="21">
    <w:name w:val="Table Grid"/>
    <w:basedOn w:val="20"/>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Strong"/>
    <w:qFormat/>
    <w:uiPriority w:val="0"/>
    <w:rPr>
      <w:b/>
      <w:bCs/>
    </w:rPr>
  </w:style>
  <w:style w:type="character" w:styleId="24">
    <w:name w:val="page number"/>
    <w:qFormat/>
    <w:uiPriority w:val="0"/>
  </w:style>
  <w:style w:type="character" w:styleId="25">
    <w:name w:val="FollowedHyperlink"/>
    <w:qFormat/>
    <w:uiPriority w:val="0"/>
    <w:rPr>
      <w:rFonts w:hint="eastAsia" w:ascii="微软雅黑" w:hAnsi="微软雅黑" w:eastAsia="微软雅黑" w:cs="微软雅黑"/>
      <w:color w:val="333333"/>
      <w:u w:val="none"/>
    </w:rPr>
  </w:style>
  <w:style w:type="character" w:styleId="26">
    <w:name w:val="Emphasis"/>
    <w:qFormat/>
    <w:uiPriority w:val="0"/>
  </w:style>
  <w:style w:type="character" w:styleId="27">
    <w:name w:val="HTML Definition"/>
    <w:qFormat/>
    <w:uiPriority w:val="0"/>
  </w:style>
  <w:style w:type="character" w:styleId="28">
    <w:name w:val="HTML Variable"/>
    <w:qFormat/>
    <w:uiPriority w:val="0"/>
  </w:style>
  <w:style w:type="character" w:styleId="29">
    <w:name w:val="Hyperlink"/>
    <w:qFormat/>
    <w:uiPriority w:val="0"/>
    <w:rPr>
      <w:rFonts w:ascii="微软雅黑" w:hAnsi="微软雅黑" w:eastAsia="微软雅黑" w:cs="微软雅黑"/>
      <w:color w:val="333333"/>
      <w:u w:val="none"/>
    </w:rPr>
  </w:style>
  <w:style w:type="character" w:styleId="30">
    <w:name w:val="HTML Code"/>
    <w:qFormat/>
    <w:uiPriority w:val="0"/>
    <w:rPr>
      <w:rFonts w:hint="default" w:ascii="Consolas" w:hAnsi="Consolas" w:eastAsia="Consolas" w:cs="Consolas"/>
      <w:color w:val="C7254E"/>
      <w:sz w:val="21"/>
      <w:szCs w:val="21"/>
      <w:shd w:val="clear" w:color="auto" w:fill="F9F2F4"/>
    </w:rPr>
  </w:style>
  <w:style w:type="character" w:styleId="31">
    <w:name w:val="annotation reference"/>
    <w:semiHidden/>
    <w:qFormat/>
    <w:uiPriority w:val="0"/>
    <w:rPr>
      <w:sz w:val="21"/>
      <w:szCs w:val="21"/>
    </w:rPr>
  </w:style>
  <w:style w:type="character" w:styleId="32">
    <w:name w:val="HTML Cite"/>
    <w:qFormat/>
    <w:uiPriority w:val="0"/>
  </w:style>
  <w:style w:type="character" w:styleId="33">
    <w:name w:val="HTML Keyboard"/>
    <w:qFormat/>
    <w:uiPriority w:val="0"/>
    <w:rPr>
      <w:rFonts w:hint="default" w:ascii="Consolas" w:hAnsi="Consolas" w:eastAsia="Consolas" w:cs="Consolas"/>
      <w:color w:val="FFFFFF"/>
      <w:sz w:val="21"/>
      <w:szCs w:val="21"/>
      <w:shd w:val="clear" w:color="auto" w:fill="333333"/>
    </w:rPr>
  </w:style>
  <w:style w:type="character" w:styleId="34">
    <w:name w:val="HTML Sample"/>
    <w:qFormat/>
    <w:uiPriority w:val="0"/>
    <w:rPr>
      <w:rFonts w:ascii="Consolas" w:hAnsi="Consolas" w:eastAsia="Consolas" w:cs="Consolas"/>
      <w:sz w:val="21"/>
      <w:szCs w:val="21"/>
    </w:rPr>
  </w:style>
  <w:style w:type="paragraph" w:customStyle="1" w:styleId="35">
    <w:name w:val="标号正文"/>
    <w:basedOn w:val="1"/>
    <w:next w:val="1"/>
    <w:qFormat/>
    <w:uiPriority w:val="99"/>
    <w:pPr>
      <w:tabs>
        <w:tab w:val="left" w:pos="1540"/>
      </w:tabs>
      <w:overflowPunct w:val="0"/>
      <w:snapToGrid w:val="0"/>
      <w:spacing w:line="360" w:lineRule="auto"/>
      <w:ind w:firstLine="1040"/>
      <w:jc w:val="left"/>
    </w:pPr>
    <w:rPr>
      <w:rFonts w:ascii="Arial" w:hAnsi="Arial"/>
      <w:sz w:val="24"/>
      <w:szCs w:val="20"/>
    </w:rPr>
  </w:style>
  <w:style w:type="paragraph" w:customStyle="1" w:styleId="36">
    <w:name w:val="xl2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cs="???-18030"/>
      <w:kern w:val="0"/>
    </w:rPr>
  </w:style>
  <w:style w:type="paragraph" w:customStyle="1" w:styleId="37">
    <w:name w:val="_Style 4"/>
    <w:basedOn w:val="1"/>
    <w:qFormat/>
    <w:uiPriority w:val="0"/>
    <w:rPr>
      <w:szCs w:val="20"/>
    </w:rPr>
  </w:style>
  <w:style w:type="paragraph" w:customStyle="1" w:styleId="38">
    <w:name w:val="标题2"/>
    <w:next w:val="1"/>
    <w:qFormat/>
    <w:uiPriority w:val="0"/>
    <w:pPr>
      <w:widowControl w:val="0"/>
      <w:autoSpaceDE w:val="0"/>
      <w:autoSpaceDN w:val="0"/>
      <w:snapToGrid w:val="0"/>
      <w:spacing w:line="590" w:lineRule="atLeast"/>
      <w:jc w:val="center"/>
    </w:pPr>
    <w:rPr>
      <w:rFonts w:ascii="Times New Roman" w:hAnsi="Times New Roman" w:eastAsia="方正楷体_GBK" w:cs="Times New Roman"/>
      <w:snapToGrid w:val="0"/>
      <w:sz w:val="32"/>
      <w:szCs w:val="24"/>
      <w:lang w:val="en-US" w:eastAsia="zh-CN" w:bidi="ar-SA"/>
    </w:rPr>
  </w:style>
  <w:style w:type="paragraph" w:customStyle="1" w:styleId="39">
    <w:name w:val="正文1"/>
    <w:basedOn w:val="1"/>
    <w:qFormat/>
    <w:uiPriority w:val="0"/>
    <w:pPr>
      <w:spacing w:line="360" w:lineRule="auto"/>
      <w:ind w:firstLine="400" w:firstLineChars="200"/>
      <w:jc w:val="both"/>
    </w:pPr>
    <w:rPr>
      <w:rFonts w:ascii="Times New Roman" w:hAnsi="Times New Roman"/>
      <w:sz w:val="24"/>
    </w:rPr>
  </w:style>
  <w:style w:type="paragraph" w:customStyle="1" w:styleId="40">
    <w:name w:val="新报告表正文"/>
    <w:basedOn w:val="1"/>
    <w:qFormat/>
    <w:uiPriority w:val="0"/>
    <w:pPr>
      <w:kinsoku w:val="0"/>
      <w:wordWrap w:val="0"/>
      <w:spacing w:line="360" w:lineRule="auto"/>
      <w:ind w:firstLine="720" w:firstLineChars="200"/>
    </w:pPr>
    <w:rPr>
      <w:rFonts w:hint="eastAsia" w:ascii="Times New Roman" w:hAnsi="Times New Roman" w:eastAsia="宋体"/>
      <w:color w:val="000000"/>
      <w:sz w:val="24"/>
      <w:szCs w:val="21"/>
    </w:rPr>
  </w:style>
  <w:style w:type="paragraph" w:customStyle="1" w:styleId="41">
    <w:name w:val="文本"/>
    <w:basedOn w:val="1"/>
    <w:next w:val="1"/>
    <w:qFormat/>
    <w:uiPriority w:val="0"/>
    <w:pPr>
      <w:autoSpaceDE w:val="0"/>
      <w:autoSpaceDN w:val="0"/>
      <w:ind w:firstLine="480"/>
    </w:pPr>
    <w:rPr>
      <w:rFonts w:cs="Times New Roman"/>
      <w:szCs w:val="24"/>
      <w:lang w:val="zh-CN"/>
    </w:rPr>
  </w:style>
  <w:style w:type="paragraph" w:customStyle="1" w:styleId="42">
    <w:name w:val="Default"/>
    <w:basedOn w:val="43"/>
    <w:next w:val="4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图、表内容"/>
    <w:qFormat/>
    <w:uiPriority w:val="0"/>
    <w:pPr>
      <w:widowControl w:val="0"/>
      <w:jc w:val="center"/>
    </w:pPr>
    <w:rPr>
      <w:rFonts w:ascii="Times New Roman" w:hAnsi="Times New Roman" w:eastAsia="宋体" w:cs="Times New Roman"/>
      <w:kern w:val="2"/>
      <w:sz w:val="21"/>
      <w:szCs w:val="24"/>
      <w:lang w:val="en-US" w:eastAsia="zh-CN" w:bidi="ar-SA"/>
    </w:rPr>
  </w:style>
  <w:style w:type="paragraph" w:customStyle="1" w:styleId="44">
    <w:name w:val="样式35"/>
    <w:basedOn w:val="1"/>
    <w:qFormat/>
    <w:uiPriority w:val="0"/>
    <w:pPr>
      <w:adjustRightInd w:val="0"/>
      <w:spacing w:line="312" w:lineRule="auto"/>
      <w:ind w:firstLine="567"/>
    </w:pPr>
    <w:rPr>
      <w:rFonts w:ascii="宋体"/>
      <w:kern w:val="0"/>
      <w:sz w:val="28"/>
      <w:szCs w:val="20"/>
    </w:rPr>
  </w:style>
  <w:style w:type="paragraph" w:customStyle="1" w:styleId="45">
    <w:name w:val="1正文段落"/>
    <w:basedOn w:val="1"/>
    <w:qFormat/>
    <w:uiPriority w:val="0"/>
    <w:pPr>
      <w:spacing w:line="360" w:lineRule="auto"/>
      <w:ind w:firstLine="200" w:firstLineChars="200"/>
    </w:pPr>
    <w:rPr>
      <w:rFonts w:ascii="Times New Roman" w:hAnsi="Times New Roman" w:eastAsia="宋体"/>
      <w:snapToGrid w:val="0"/>
      <w:kern w:val="0"/>
      <w:sz w:val="24"/>
      <w:szCs w:val="21"/>
    </w:rPr>
  </w:style>
  <w:style w:type="paragraph" w:customStyle="1" w:styleId="46">
    <w:name w:val=" Char Char Char"/>
    <w:basedOn w:val="1"/>
    <w:qFormat/>
    <w:uiPriority w:val="0"/>
    <w:rPr>
      <w:sz w:val="24"/>
    </w:rPr>
  </w:style>
  <w:style w:type="paragraph" w:customStyle="1" w:styleId="47">
    <w:name w:val="005_表格"/>
    <w:basedOn w:val="1"/>
    <w:next w:val="1"/>
    <w:qFormat/>
    <w:uiPriority w:val="0"/>
    <w:pPr>
      <w:wordWrap w:val="0"/>
      <w:spacing w:line="240" w:lineRule="auto"/>
      <w:ind w:firstLine="0" w:firstLineChars="0"/>
      <w:jc w:val="center"/>
    </w:pPr>
    <w:rPr>
      <w:rFonts w:ascii="Times New Roman" w:hAnsi="Times New Roman" w:eastAsia="宋体"/>
      <w:sz w:val="21"/>
      <w:szCs w:val="21"/>
    </w:rPr>
  </w:style>
  <w:style w:type="character" w:customStyle="1" w:styleId="48">
    <w:name w:val="hover2"/>
    <w:qFormat/>
    <w:uiPriority w:val="0"/>
    <w:rPr>
      <w:sz w:val="21"/>
      <w:szCs w:val="21"/>
    </w:rPr>
  </w:style>
  <w:style w:type="character" w:customStyle="1" w:styleId="49">
    <w:name w:val="font21"/>
    <w:qFormat/>
    <w:uiPriority w:val="0"/>
    <w:rPr>
      <w:rFonts w:hint="eastAsia" w:ascii="宋体" w:hAnsi="宋体" w:eastAsia="宋体" w:cs="宋体"/>
      <w:color w:val="FF0000"/>
      <w:sz w:val="21"/>
      <w:szCs w:val="21"/>
      <w:u w:val="none"/>
    </w:rPr>
  </w:style>
  <w:style w:type="character" w:customStyle="1" w:styleId="50">
    <w:name w:val="layui-layer-tabnow"/>
    <w:qFormat/>
    <w:uiPriority w:val="0"/>
    <w:rPr>
      <w:bdr w:val="single" w:color="CCCCCC" w:sz="6" w:space="0"/>
      <w:shd w:val="clear" w:color="auto" w:fill="FFFFFF"/>
    </w:rPr>
  </w:style>
  <w:style w:type="character" w:customStyle="1" w:styleId="51">
    <w:name w:val="hover"/>
    <w:qFormat/>
    <w:uiPriority w:val="0"/>
  </w:style>
  <w:style w:type="character" w:customStyle="1" w:styleId="52">
    <w:name w:val="fontstyle1"/>
    <w:qFormat/>
    <w:uiPriority w:val="0"/>
    <w:rPr>
      <w:sz w:val="21"/>
      <w:szCs w:val="21"/>
    </w:rPr>
  </w:style>
  <w:style w:type="character" w:customStyle="1" w:styleId="53">
    <w:name w:val="hover1"/>
    <w:qFormat/>
    <w:uiPriority w:val="0"/>
    <w:rPr>
      <w:shd w:val="clear" w:color="auto" w:fill="F3F3F3"/>
    </w:rPr>
  </w:style>
  <w:style w:type="character" w:customStyle="1" w:styleId="54">
    <w:name w:val="change-bigic"/>
    <w:qFormat/>
    <w:uiPriority w:val="0"/>
    <w:rPr>
      <w:vanish/>
    </w:rPr>
  </w:style>
  <w:style w:type="character" w:customStyle="1" w:styleId="55">
    <w:name w:val="hover3"/>
    <w:qFormat/>
    <w:uiPriority w:val="0"/>
    <w:rPr>
      <w:shd w:val="clear" w:color="auto" w:fill="F3F3F3"/>
    </w:rPr>
  </w:style>
  <w:style w:type="character" w:customStyle="1" w:styleId="56">
    <w:name w:val="max-bigic"/>
    <w:qFormat/>
    <w:uiPriority w:val="0"/>
    <w:rPr>
      <w:vanish/>
    </w:rPr>
  </w:style>
  <w:style w:type="character" w:customStyle="1" w:styleId="57">
    <w:name w:val="first-child"/>
    <w:qFormat/>
    <w:uiPriority w:val="0"/>
  </w:style>
  <w:style w:type="character" w:customStyle="1" w:styleId="58">
    <w:name w:val="close-bigic"/>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2050</Words>
  <Characters>2252</Characters>
  <Lines>7</Lines>
  <Paragraphs>2</Paragraphs>
  <TotalTime>107</TotalTime>
  <ScaleCrop>false</ScaleCrop>
  <LinksUpToDate>false</LinksUpToDate>
  <CharactersWithSpaces>2391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2025-03-13T01:22:00Z</dcterms:created>
  <dc:creator>微软用户</dc:creator>
  <cp:lastModifiedBy>赵涛</cp:lastModifiedBy>
  <cp:lastPrinted>2025-01-17T08:02:00Z</cp:lastPrinted>
  <dcterms:modified xsi:type="dcterms:W3CDTF">2025-07-10T03:23:47Z</dcterms:modified>
  <dc:title>金环[2010]72号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766A6A5C85EB40EE9FBE489351987304_13</vt:lpwstr>
  </property>
  <property fmtid="{D5CDD505-2E9C-101B-9397-08002B2CF9AE}" pid="4" name="KSOTemplateDocerSaveRecord">
    <vt:lpwstr>eyJoZGlkIjoiZWRjYmUxNjEwZGRkYmM5OTA5MzZjYzY0NWMzNThlYmEiLCJ1c2VySWQiOiI1NjIzOTE0NjYifQ==</vt:lpwstr>
  </property>
</Properties>
</file>